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D6" w:rsidRDefault="00126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Structural Engineer</w:t>
      </w:r>
      <w:r w:rsidR="009D559F">
        <w:t>ing</w:t>
      </w:r>
      <w:r w:rsidR="000E06A4">
        <w:t xml:space="preserve"> Guidance </w:t>
      </w:r>
      <w:r w:rsidR="000E06A4">
        <w:tab/>
      </w:r>
      <w:r w:rsidR="000E06A4">
        <w:tab/>
      </w:r>
      <w:r w:rsidR="000E06A4">
        <w:tab/>
      </w:r>
      <w:r w:rsidR="000E06A4">
        <w:tab/>
      </w:r>
      <w:r w:rsidR="000E06A4">
        <w:tab/>
      </w:r>
      <w:r w:rsidR="000E06A4">
        <w:tab/>
        <w:t xml:space="preserve">       No. 10-04</w:t>
      </w:r>
    </w:p>
    <w:p w:rsidR="001266D6" w:rsidRDefault="001266D6"/>
    <w:p w:rsidR="001266D6" w:rsidRDefault="00DB5873">
      <w:r>
        <w:t xml:space="preserve">Date:  </w:t>
      </w:r>
      <w:r w:rsidR="000E06A4">
        <w:t>June 10</w:t>
      </w:r>
      <w:r w:rsidR="009D559F">
        <w:t>, 2010</w:t>
      </w:r>
    </w:p>
    <w:p w:rsidR="007A19D9" w:rsidRDefault="007A19D9"/>
    <w:p w:rsidR="007A19D9" w:rsidRDefault="009A3730" w:rsidP="007A19D9">
      <w:r>
        <w:t xml:space="preserve">Distribution:  </w:t>
      </w:r>
      <w:r w:rsidR="007A19D9">
        <w:t>All Engineering Resources</w:t>
      </w:r>
    </w:p>
    <w:p w:rsidR="007A19D9" w:rsidRDefault="007A19D9"/>
    <w:p w:rsidR="001266D6" w:rsidRDefault="009A3730" w:rsidP="00563D27">
      <w:r>
        <w:t xml:space="preserve">SUBJECT:  </w:t>
      </w:r>
      <w:r w:rsidR="00DD6479">
        <w:t>TOP OF PERMANENT CASING ELEVATION</w:t>
      </w:r>
      <w:r w:rsidR="00563D27">
        <w:t xml:space="preserve"> </w:t>
      </w:r>
      <w:r w:rsidR="007238CA">
        <w:t>IN OPEN WATER</w:t>
      </w:r>
    </w:p>
    <w:p w:rsidR="001266D6" w:rsidRDefault="001266D6"/>
    <w:p w:rsidR="001266D6" w:rsidRDefault="00DB5873">
      <w:r>
        <w:t xml:space="preserve">Contact:  </w:t>
      </w:r>
      <w:r w:rsidR="007727FF">
        <w:t>Gregory Sanders</w:t>
      </w:r>
    </w:p>
    <w:p w:rsidR="001266D6" w:rsidRDefault="001266D6"/>
    <w:p w:rsidR="001266D6" w:rsidRDefault="001266D6" w:rsidP="00B6726A">
      <w:r>
        <w:t xml:space="preserve">Effective Date: </w:t>
      </w:r>
      <w:r w:rsidR="00DB5873">
        <w:t xml:space="preserve"> </w:t>
      </w:r>
      <w:r>
        <w:t>Immediately</w:t>
      </w:r>
      <w:r w:rsidR="00092D49">
        <w:t xml:space="preserve"> F</w:t>
      </w:r>
      <w:r w:rsidR="00777D65">
        <w:t>or New J</w:t>
      </w:r>
      <w:r w:rsidR="00563D27">
        <w:t>obs</w:t>
      </w:r>
      <w:r w:rsidR="004B676F">
        <w:t xml:space="preserve"> </w:t>
      </w:r>
      <w:r w:rsidR="00092D49">
        <w:t>To</w:t>
      </w:r>
      <w:r w:rsidR="004B676F">
        <w:t xml:space="preserve"> Be</w:t>
      </w:r>
      <w:r w:rsidR="00777D65">
        <w:t xml:space="preserve"> D</w:t>
      </w:r>
      <w:r w:rsidR="008E2463">
        <w:t>esigned</w:t>
      </w:r>
    </w:p>
    <w:p w:rsidR="001266D6" w:rsidRDefault="001266D6">
      <w:pPr>
        <w:pBdr>
          <w:bottom w:val="single" w:sz="12" w:space="1" w:color="auto"/>
        </w:pBdr>
      </w:pPr>
    </w:p>
    <w:p w:rsidR="001266D6" w:rsidRDefault="00DB5873">
      <w:pPr>
        <w:pBdr>
          <w:bottom w:val="single" w:sz="12" w:space="1" w:color="auto"/>
        </w:pBdr>
      </w:pPr>
      <w:r>
        <w:t xml:space="preserve">EPG Submittal </w:t>
      </w:r>
      <w:r w:rsidR="00777D65">
        <w:t>Status:  To Be S</w:t>
      </w:r>
      <w:r w:rsidR="00F8576A">
        <w:t>ubmitted</w:t>
      </w:r>
    </w:p>
    <w:p w:rsidR="001266D6" w:rsidRDefault="001266D6">
      <w:pPr>
        <w:pBdr>
          <w:bottom w:val="single" w:sz="12" w:space="1" w:color="auto"/>
        </w:pBdr>
      </w:pPr>
    </w:p>
    <w:p w:rsidR="001266D6" w:rsidRDefault="001266D6">
      <w:pPr>
        <w:rPr>
          <w:sz w:val="20"/>
        </w:rPr>
      </w:pPr>
    </w:p>
    <w:p w:rsidR="004B676F" w:rsidRPr="004B676F" w:rsidRDefault="0067679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Background a</w:t>
      </w:r>
      <w:r w:rsidR="004B676F" w:rsidRPr="004B676F">
        <w:rPr>
          <w:sz w:val="20"/>
          <w:szCs w:val="20"/>
          <w:u w:val="single"/>
        </w:rPr>
        <w:t>nd Purpose:</w:t>
      </w:r>
    </w:p>
    <w:p w:rsidR="004B676F" w:rsidRDefault="004B676F">
      <w:pPr>
        <w:rPr>
          <w:sz w:val="20"/>
          <w:szCs w:val="20"/>
        </w:rPr>
      </w:pPr>
    </w:p>
    <w:p w:rsidR="0093244F" w:rsidRDefault="00563D27" w:rsidP="000631E1">
      <w:pPr>
        <w:ind w:left="540"/>
        <w:rPr>
          <w:sz w:val="20"/>
          <w:szCs w:val="20"/>
        </w:rPr>
      </w:pPr>
      <w:r>
        <w:rPr>
          <w:sz w:val="20"/>
          <w:szCs w:val="20"/>
        </w:rPr>
        <w:t>In the past</w:t>
      </w:r>
      <w:r w:rsidR="007B6878">
        <w:rPr>
          <w:sz w:val="20"/>
          <w:szCs w:val="20"/>
        </w:rPr>
        <w:t xml:space="preserve">, the top of </w:t>
      </w:r>
      <w:r>
        <w:rPr>
          <w:sz w:val="20"/>
          <w:szCs w:val="20"/>
        </w:rPr>
        <w:t xml:space="preserve">permanent casing </w:t>
      </w:r>
      <w:r w:rsidR="007B6878">
        <w:rPr>
          <w:sz w:val="20"/>
          <w:szCs w:val="20"/>
        </w:rPr>
        <w:t xml:space="preserve">elevation </w:t>
      </w:r>
      <w:r>
        <w:rPr>
          <w:sz w:val="20"/>
          <w:szCs w:val="20"/>
        </w:rPr>
        <w:t xml:space="preserve">was </w:t>
      </w:r>
      <w:r w:rsidR="007B6878">
        <w:rPr>
          <w:sz w:val="20"/>
          <w:szCs w:val="20"/>
        </w:rPr>
        <w:t xml:space="preserve">specified at </w:t>
      </w:r>
      <w:r>
        <w:rPr>
          <w:sz w:val="20"/>
          <w:szCs w:val="20"/>
        </w:rPr>
        <w:t>1 foot below low water</w:t>
      </w:r>
      <w:r w:rsidR="007B6878">
        <w:rPr>
          <w:sz w:val="20"/>
          <w:szCs w:val="20"/>
        </w:rPr>
        <w:t xml:space="preserve"> on the bridge plans.</w:t>
      </w:r>
      <w:r>
        <w:rPr>
          <w:sz w:val="20"/>
          <w:szCs w:val="20"/>
        </w:rPr>
        <w:t xml:space="preserve"> </w:t>
      </w:r>
      <w:r w:rsidR="007B6878">
        <w:rPr>
          <w:sz w:val="20"/>
          <w:szCs w:val="20"/>
        </w:rPr>
        <w:t xml:space="preserve"> The use of </w:t>
      </w:r>
      <w:r w:rsidR="000631E1">
        <w:rPr>
          <w:sz w:val="20"/>
          <w:szCs w:val="20"/>
        </w:rPr>
        <w:t xml:space="preserve">removable casing was </w:t>
      </w:r>
      <w:r w:rsidR="007B6878">
        <w:rPr>
          <w:sz w:val="20"/>
          <w:szCs w:val="20"/>
        </w:rPr>
        <w:t>specified</w:t>
      </w:r>
      <w:r w:rsidR="000631E1">
        <w:rPr>
          <w:sz w:val="20"/>
          <w:szCs w:val="20"/>
        </w:rPr>
        <w:t xml:space="preserve"> above this elevation and called temporary casing.  </w:t>
      </w:r>
      <w:r w:rsidR="007B6878">
        <w:rPr>
          <w:sz w:val="20"/>
          <w:szCs w:val="20"/>
        </w:rPr>
        <w:t>It has been</w:t>
      </w:r>
      <w:r w:rsidR="00AE1C24">
        <w:rPr>
          <w:sz w:val="20"/>
          <w:szCs w:val="20"/>
        </w:rPr>
        <w:t xml:space="preserve"> d</w:t>
      </w:r>
      <w:r w:rsidR="009D0C76">
        <w:rPr>
          <w:sz w:val="20"/>
          <w:szCs w:val="20"/>
        </w:rPr>
        <w:t xml:space="preserve">ifficult </w:t>
      </w:r>
      <w:r w:rsidR="0028703C">
        <w:rPr>
          <w:sz w:val="20"/>
          <w:szCs w:val="20"/>
        </w:rPr>
        <w:t xml:space="preserve">and expensive </w:t>
      </w:r>
      <w:r w:rsidR="009D0C76">
        <w:rPr>
          <w:sz w:val="20"/>
          <w:szCs w:val="20"/>
        </w:rPr>
        <w:t>for contracto</w:t>
      </w:r>
      <w:r w:rsidR="008E2463">
        <w:rPr>
          <w:sz w:val="20"/>
          <w:szCs w:val="20"/>
        </w:rPr>
        <w:t xml:space="preserve">rs to cut the casing below </w:t>
      </w:r>
      <w:r w:rsidR="0028703C">
        <w:rPr>
          <w:sz w:val="20"/>
          <w:szCs w:val="20"/>
        </w:rPr>
        <w:t xml:space="preserve">the </w:t>
      </w:r>
      <w:r w:rsidR="008E2463">
        <w:rPr>
          <w:sz w:val="20"/>
          <w:szCs w:val="20"/>
        </w:rPr>
        <w:t>water</w:t>
      </w:r>
      <w:r w:rsidR="007B6878">
        <w:rPr>
          <w:sz w:val="20"/>
          <w:szCs w:val="20"/>
        </w:rPr>
        <w:t>line</w:t>
      </w:r>
      <w:r w:rsidR="009D0C76">
        <w:rPr>
          <w:sz w:val="20"/>
          <w:szCs w:val="20"/>
        </w:rPr>
        <w:t>.</w:t>
      </w:r>
      <w:r w:rsidR="009370D9">
        <w:rPr>
          <w:sz w:val="20"/>
          <w:szCs w:val="20"/>
        </w:rPr>
        <w:t xml:space="preserve"> This was brought to the attention of the Bridge Division </w:t>
      </w:r>
      <w:r w:rsidR="0028703C">
        <w:rPr>
          <w:sz w:val="20"/>
          <w:szCs w:val="20"/>
        </w:rPr>
        <w:t>at the AGC/MoDOT Bridge Meetings.</w:t>
      </w:r>
      <w:r w:rsidR="009D0C76">
        <w:rPr>
          <w:sz w:val="20"/>
          <w:szCs w:val="20"/>
        </w:rPr>
        <w:t xml:space="preserve"> </w:t>
      </w:r>
    </w:p>
    <w:p w:rsidR="0093244F" w:rsidRDefault="0093244F" w:rsidP="000631E1">
      <w:pPr>
        <w:ind w:left="540"/>
        <w:rPr>
          <w:sz w:val="20"/>
          <w:szCs w:val="20"/>
        </w:rPr>
      </w:pPr>
    </w:p>
    <w:p w:rsidR="009D0C76" w:rsidRDefault="004B676F" w:rsidP="000631E1">
      <w:pPr>
        <w:ind w:left="540"/>
        <w:rPr>
          <w:sz w:val="20"/>
          <w:szCs w:val="20"/>
        </w:rPr>
      </w:pPr>
      <w:r>
        <w:rPr>
          <w:sz w:val="20"/>
          <w:szCs w:val="20"/>
        </w:rPr>
        <w:t>This guidance is int</w:t>
      </w:r>
      <w:r w:rsidR="00DC53F6">
        <w:rPr>
          <w:sz w:val="20"/>
          <w:szCs w:val="20"/>
        </w:rPr>
        <w:t xml:space="preserve">ended to eliminate the </w:t>
      </w:r>
      <w:r w:rsidR="00CD0AE5">
        <w:rPr>
          <w:sz w:val="20"/>
          <w:szCs w:val="20"/>
        </w:rPr>
        <w:t xml:space="preserve">need </w:t>
      </w:r>
      <w:r w:rsidR="000E06A4">
        <w:rPr>
          <w:sz w:val="20"/>
          <w:szCs w:val="20"/>
        </w:rPr>
        <w:t xml:space="preserve">for </w:t>
      </w:r>
      <w:r w:rsidR="00CD0AE5">
        <w:rPr>
          <w:sz w:val="20"/>
          <w:szCs w:val="20"/>
        </w:rPr>
        <w:t xml:space="preserve">and </w:t>
      </w:r>
      <w:r w:rsidR="00DC53F6">
        <w:rPr>
          <w:sz w:val="20"/>
          <w:szCs w:val="20"/>
        </w:rPr>
        <w:t>requirement of</w:t>
      </w:r>
      <w:r>
        <w:rPr>
          <w:sz w:val="20"/>
          <w:szCs w:val="20"/>
        </w:rPr>
        <w:t xml:space="preserve"> cutting casing under water</w:t>
      </w:r>
      <w:r w:rsidR="00E92C48">
        <w:rPr>
          <w:sz w:val="20"/>
          <w:szCs w:val="20"/>
        </w:rPr>
        <w:t xml:space="preserve">. It will also eliminate the likelihood of a </w:t>
      </w:r>
      <w:r w:rsidR="000E06A4">
        <w:rPr>
          <w:sz w:val="20"/>
          <w:szCs w:val="20"/>
        </w:rPr>
        <w:t xml:space="preserve">need for a contractor </w:t>
      </w:r>
      <w:r w:rsidR="00DC53F6">
        <w:rPr>
          <w:sz w:val="20"/>
          <w:szCs w:val="20"/>
        </w:rPr>
        <w:t>to scab on temporary casing</w:t>
      </w:r>
      <w:r w:rsidR="00E92C48">
        <w:rPr>
          <w:sz w:val="20"/>
          <w:szCs w:val="20"/>
        </w:rPr>
        <w:t xml:space="preserve"> in the field.  </w:t>
      </w:r>
      <w:r w:rsidR="003B7DB0">
        <w:rPr>
          <w:sz w:val="20"/>
          <w:szCs w:val="20"/>
        </w:rPr>
        <w:t>Both construction practices incur unnecessary construction costs and time.</w:t>
      </w:r>
    </w:p>
    <w:p w:rsidR="004B676F" w:rsidRDefault="004B676F" w:rsidP="004B676F">
      <w:pPr>
        <w:ind w:left="540"/>
        <w:rPr>
          <w:sz w:val="20"/>
          <w:szCs w:val="20"/>
        </w:rPr>
      </w:pPr>
    </w:p>
    <w:p w:rsidR="00794E87" w:rsidRDefault="00794E87" w:rsidP="004B676F">
      <w:pPr>
        <w:ind w:left="540"/>
        <w:rPr>
          <w:sz w:val="20"/>
          <w:szCs w:val="20"/>
        </w:rPr>
      </w:pPr>
    </w:p>
    <w:p w:rsidR="004B676F" w:rsidRPr="004B676F" w:rsidRDefault="004B676F" w:rsidP="004B676F">
      <w:pPr>
        <w:rPr>
          <w:sz w:val="20"/>
          <w:szCs w:val="20"/>
          <w:u w:val="single"/>
        </w:rPr>
      </w:pPr>
      <w:r w:rsidRPr="004B676F">
        <w:rPr>
          <w:sz w:val="20"/>
          <w:szCs w:val="20"/>
          <w:u w:val="single"/>
        </w:rPr>
        <w:t>Guidance:</w:t>
      </w:r>
    </w:p>
    <w:p w:rsidR="004B676F" w:rsidRDefault="004B676F" w:rsidP="004B676F">
      <w:pPr>
        <w:ind w:left="540"/>
        <w:rPr>
          <w:sz w:val="20"/>
          <w:szCs w:val="20"/>
        </w:rPr>
      </w:pPr>
    </w:p>
    <w:p w:rsidR="004B676F" w:rsidRDefault="004B676F" w:rsidP="004B676F">
      <w:pPr>
        <w:ind w:left="540"/>
        <w:rPr>
          <w:sz w:val="20"/>
          <w:szCs w:val="20"/>
        </w:rPr>
      </w:pPr>
      <w:r>
        <w:rPr>
          <w:sz w:val="20"/>
          <w:szCs w:val="20"/>
        </w:rPr>
        <w:t>Permanent casing for drilled shafts in open w</w:t>
      </w:r>
      <w:r w:rsidR="00B700F5">
        <w:rPr>
          <w:sz w:val="20"/>
          <w:szCs w:val="20"/>
        </w:rPr>
        <w:t>ater shall be required to terminate at</w:t>
      </w:r>
      <w:r>
        <w:rPr>
          <w:sz w:val="20"/>
          <w:szCs w:val="20"/>
        </w:rPr>
        <w:t xml:space="preserve"> 1 foot or greater above Ordinary High Water (OHW). </w:t>
      </w:r>
    </w:p>
    <w:p w:rsidR="007B6878" w:rsidRDefault="007B6878" w:rsidP="004B676F">
      <w:pPr>
        <w:ind w:left="540"/>
        <w:rPr>
          <w:sz w:val="20"/>
          <w:szCs w:val="20"/>
        </w:rPr>
      </w:pPr>
    </w:p>
    <w:p w:rsidR="009D0C76" w:rsidRDefault="00E85778" w:rsidP="004B676F">
      <w:pPr>
        <w:ind w:left="540"/>
        <w:rPr>
          <w:sz w:val="20"/>
          <w:szCs w:val="20"/>
        </w:rPr>
      </w:pPr>
      <w:r>
        <w:rPr>
          <w:sz w:val="20"/>
          <w:szCs w:val="20"/>
        </w:rPr>
        <w:t>For aesthetic applications</w:t>
      </w:r>
      <w:r w:rsidR="009D0C76">
        <w:rPr>
          <w:sz w:val="20"/>
          <w:szCs w:val="20"/>
        </w:rPr>
        <w:t xml:space="preserve">, exposed permanent casing </w:t>
      </w:r>
      <w:r w:rsidR="00E70C66">
        <w:rPr>
          <w:sz w:val="20"/>
          <w:szCs w:val="20"/>
        </w:rPr>
        <w:t xml:space="preserve">in open water </w:t>
      </w:r>
      <w:r w:rsidR="00115A19">
        <w:rPr>
          <w:sz w:val="20"/>
          <w:szCs w:val="20"/>
        </w:rPr>
        <w:t>may</w:t>
      </w:r>
      <w:r w:rsidR="009F4D3D">
        <w:rPr>
          <w:sz w:val="20"/>
          <w:szCs w:val="20"/>
        </w:rPr>
        <w:t xml:space="preserve"> be considered acceptable but</w:t>
      </w:r>
      <w:r w:rsidR="009D0C76">
        <w:rPr>
          <w:sz w:val="20"/>
          <w:szCs w:val="20"/>
        </w:rPr>
        <w:t xml:space="preserve"> sh</w:t>
      </w:r>
      <w:r w:rsidR="00BE4F1B">
        <w:rPr>
          <w:sz w:val="20"/>
          <w:szCs w:val="20"/>
        </w:rPr>
        <w:t>ould b</w:t>
      </w:r>
      <w:r w:rsidR="00F472BF">
        <w:rPr>
          <w:sz w:val="20"/>
          <w:szCs w:val="20"/>
        </w:rPr>
        <w:t>e reviewed by the Core Team</w:t>
      </w:r>
      <w:r w:rsidR="009D0C76">
        <w:rPr>
          <w:sz w:val="20"/>
          <w:szCs w:val="20"/>
        </w:rPr>
        <w:t xml:space="preserve">.  </w:t>
      </w:r>
      <w:r w:rsidR="008870D9">
        <w:rPr>
          <w:sz w:val="20"/>
          <w:szCs w:val="20"/>
        </w:rPr>
        <w:t xml:space="preserve">For </w:t>
      </w:r>
      <w:r w:rsidR="00115A19">
        <w:rPr>
          <w:sz w:val="20"/>
          <w:szCs w:val="20"/>
        </w:rPr>
        <w:t xml:space="preserve">very </w:t>
      </w:r>
      <w:r w:rsidR="00004AD2">
        <w:rPr>
          <w:sz w:val="20"/>
          <w:szCs w:val="20"/>
        </w:rPr>
        <w:t>sensitive</w:t>
      </w:r>
      <w:r>
        <w:rPr>
          <w:sz w:val="20"/>
          <w:szCs w:val="20"/>
        </w:rPr>
        <w:t xml:space="preserve"> aesthetic areas</w:t>
      </w:r>
      <w:r w:rsidR="00410BEA">
        <w:rPr>
          <w:sz w:val="20"/>
          <w:szCs w:val="20"/>
        </w:rPr>
        <w:t>, an a</w:t>
      </w:r>
      <w:r>
        <w:rPr>
          <w:sz w:val="20"/>
          <w:szCs w:val="20"/>
        </w:rPr>
        <w:t xml:space="preserve">cceptable alternative may be </w:t>
      </w:r>
      <w:r w:rsidR="008870D9">
        <w:rPr>
          <w:sz w:val="20"/>
          <w:szCs w:val="20"/>
        </w:rPr>
        <w:t xml:space="preserve">a return to </w:t>
      </w:r>
      <w:r>
        <w:rPr>
          <w:sz w:val="20"/>
          <w:szCs w:val="20"/>
        </w:rPr>
        <w:t xml:space="preserve">the </w:t>
      </w:r>
      <w:r w:rsidR="008870D9">
        <w:rPr>
          <w:sz w:val="20"/>
          <w:szCs w:val="20"/>
        </w:rPr>
        <w:t>past policy</w:t>
      </w:r>
      <w:r w:rsidR="00B76C26">
        <w:rPr>
          <w:sz w:val="20"/>
          <w:szCs w:val="20"/>
        </w:rPr>
        <w:t xml:space="preserve"> of </w:t>
      </w:r>
      <w:r w:rsidR="00E31613">
        <w:rPr>
          <w:sz w:val="20"/>
          <w:szCs w:val="20"/>
        </w:rPr>
        <w:t xml:space="preserve">using temporary casing and </w:t>
      </w:r>
      <w:r w:rsidR="00B76C26">
        <w:rPr>
          <w:sz w:val="20"/>
          <w:szCs w:val="20"/>
        </w:rPr>
        <w:t>cutting the casing 1 f</w:t>
      </w:r>
      <w:r>
        <w:rPr>
          <w:sz w:val="20"/>
          <w:szCs w:val="20"/>
        </w:rPr>
        <w:t>oot below low water</w:t>
      </w:r>
      <w:r w:rsidR="00115A19">
        <w:rPr>
          <w:sz w:val="20"/>
          <w:szCs w:val="20"/>
        </w:rPr>
        <w:t>. The Core Team has the final authority on what constitutes an aesthetic application.</w:t>
      </w:r>
      <w:r w:rsidR="009A3730">
        <w:rPr>
          <w:sz w:val="20"/>
          <w:szCs w:val="20"/>
        </w:rPr>
        <w:t xml:space="preserve"> In any case, it shall be clear on the plans at what elevation</w:t>
      </w:r>
      <w:r w:rsidR="00CD0AE5">
        <w:rPr>
          <w:sz w:val="20"/>
          <w:szCs w:val="20"/>
        </w:rPr>
        <w:t xml:space="preserve"> permanent casing is terminated</w:t>
      </w:r>
      <w:r w:rsidR="00794E87">
        <w:rPr>
          <w:sz w:val="20"/>
          <w:szCs w:val="20"/>
        </w:rPr>
        <w:t>.</w:t>
      </w:r>
    </w:p>
    <w:p w:rsidR="00833F3F" w:rsidRDefault="00833F3F">
      <w:pPr>
        <w:rPr>
          <w:sz w:val="20"/>
          <w:szCs w:val="20"/>
        </w:rPr>
      </w:pPr>
    </w:p>
    <w:p w:rsidR="00BE4F1B" w:rsidRPr="00092D49" w:rsidRDefault="00FD4C92" w:rsidP="004B676F">
      <w:pPr>
        <w:autoSpaceDE w:val="0"/>
        <w:autoSpaceDN w:val="0"/>
        <w:adjustRightInd w:val="0"/>
        <w:ind w:left="540"/>
        <w:rPr>
          <w:sz w:val="20"/>
          <w:szCs w:val="20"/>
        </w:rPr>
      </w:pPr>
      <w:r>
        <w:rPr>
          <w:sz w:val="20"/>
          <w:szCs w:val="20"/>
        </w:rPr>
        <w:t>When</w:t>
      </w:r>
      <w:r w:rsidR="0010102F">
        <w:rPr>
          <w:sz w:val="20"/>
          <w:szCs w:val="20"/>
        </w:rPr>
        <w:t xml:space="preserve"> used in an aesthetic application or when the steel casing strength is used in determining the shaft design strength</w:t>
      </w:r>
      <w:r w:rsidR="00320255">
        <w:rPr>
          <w:sz w:val="20"/>
          <w:szCs w:val="20"/>
        </w:rPr>
        <w:t>, c</w:t>
      </w:r>
      <w:r w:rsidR="003D1422" w:rsidRPr="00092D49">
        <w:rPr>
          <w:sz w:val="20"/>
          <w:szCs w:val="20"/>
        </w:rPr>
        <w:t>oating</w:t>
      </w:r>
      <w:r w:rsidR="00BE4F1B" w:rsidRPr="00092D49">
        <w:rPr>
          <w:sz w:val="20"/>
          <w:szCs w:val="20"/>
        </w:rPr>
        <w:t xml:space="preserve"> the exposed porti</w:t>
      </w:r>
      <w:r w:rsidR="00A94B08" w:rsidRPr="00092D49">
        <w:rPr>
          <w:sz w:val="20"/>
          <w:szCs w:val="20"/>
        </w:rPr>
        <w:t xml:space="preserve">on of the permanent casing </w:t>
      </w:r>
      <w:r w:rsidR="00BE4F1B" w:rsidRPr="00092D49">
        <w:rPr>
          <w:sz w:val="20"/>
          <w:szCs w:val="20"/>
        </w:rPr>
        <w:t>shall be require</w:t>
      </w:r>
      <w:r w:rsidR="00320255">
        <w:rPr>
          <w:sz w:val="20"/>
          <w:szCs w:val="20"/>
        </w:rPr>
        <w:t xml:space="preserve">d for protection. </w:t>
      </w:r>
      <w:r w:rsidR="00715FE9" w:rsidRPr="00092D49">
        <w:rPr>
          <w:sz w:val="20"/>
          <w:szCs w:val="20"/>
        </w:rPr>
        <w:t xml:space="preserve">Before the coating is applied, </w:t>
      </w:r>
      <w:r w:rsidR="009A3730" w:rsidRPr="00092D49">
        <w:rPr>
          <w:sz w:val="20"/>
          <w:szCs w:val="20"/>
        </w:rPr>
        <w:t xml:space="preserve">the </w:t>
      </w:r>
      <w:r w:rsidR="00715FE9" w:rsidRPr="00092D49">
        <w:rPr>
          <w:sz w:val="20"/>
          <w:szCs w:val="20"/>
        </w:rPr>
        <w:t>steel</w:t>
      </w:r>
      <w:r w:rsidR="009A3730" w:rsidRPr="00092D49">
        <w:rPr>
          <w:sz w:val="20"/>
          <w:szCs w:val="20"/>
        </w:rPr>
        <w:t xml:space="preserve"> casing</w:t>
      </w:r>
      <w:r w:rsidR="00715FE9" w:rsidRPr="00092D49">
        <w:rPr>
          <w:sz w:val="20"/>
          <w:szCs w:val="20"/>
        </w:rPr>
        <w:t xml:space="preserve"> shall be thoroughly cleaned. Steel shall be coated with one 6-mil (0.15 mm) thickness of </w:t>
      </w:r>
      <w:r w:rsidR="009A3730" w:rsidRPr="00092D49">
        <w:rPr>
          <w:sz w:val="20"/>
          <w:szCs w:val="20"/>
        </w:rPr>
        <w:t>approved</w:t>
      </w:r>
      <w:r w:rsidR="00715FE9" w:rsidRPr="00092D49">
        <w:rPr>
          <w:sz w:val="20"/>
          <w:szCs w:val="20"/>
        </w:rPr>
        <w:t xml:space="preserve"> gray epoxy mastic in accordance with the epoxy mastic manufacturer’s recommendations. Protective coating</w:t>
      </w:r>
      <w:r w:rsidR="009A3730" w:rsidRPr="00092D49">
        <w:rPr>
          <w:sz w:val="20"/>
          <w:szCs w:val="20"/>
        </w:rPr>
        <w:t xml:space="preserve"> will</w:t>
      </w:r>
      <w:r w:rsidR="00715FE9" w:rsidRPr="00092D49">
        <w:rPr>
          <w:sz w:val="20"/>
          <w:szCs w:val="20"/>
        </w:rPr>
        <w:t xml:space="preserve"> not be required below the normal low water line. </w:t>
      </w:r>
      <w:r w:rsidR="003D1422" w:rsidRPr="00092D49">
        <w:rPr>
          <w:sz w:val="20"/>
          <w:szCs w:val="20"/>
        </w:rPr>
        <w:t xml:space="preserve">Cost of this work shall </w:t>
      </w:r>
      <w:r w:rsidR="00256496" w:rsidRPr="00092D49">
        <w:rPr>
          <w:sz w:val="20"/>
          <w:szCs w:val="20"/>
        </w:rPr>
        <w:t>be noted on the plans and</w:t>
      </w:r>
      <w:r w:rsidR="00143C7A" w:rsidRPr="00092D49">
        <w:rPr>
          <w:sz w:val="20"/>
          <w:szCs w:val="20"/>
        </w:rPr>
        <w:t xml:space="preserve"> considered incidental to </w:t>
      </w:r>
      <w:r w:rsidR="003D1422" w:rsidRPr="00092D49">
        <w:rPr>
          <w:sz w:val="20"/>
          <w:szCs w:val="20"/>
        </w:rPr>
        <w:t>other pay items.</w:t>
      </w:r>
      <w:r w:rsidR="00236D10" w:rsidRPr="00092D49">
        <w:rPr>
          <w:sz w:val="20"/>
          <w:szCs w:val="20"/>
        </w:rPr>
        <w:t xml:space="preserve"> </w:t>
      </w:r>
    </w:p>
    <w:p w:rsidR="004B676F" w:rsidRDefault="004B676F" w:rsidP="004B676F">
      <w:pPr>
        <w:autoSpaceDE w:val="0"/>
        <w:autoSpaceDN w:val="0"/>
        <w:adjustRightInd w:val="0"/>
        <w:ind w:left="540"/>
        <w:rPr>
          <w:sz w:val="20"/>
          <w:szCs w:val="20"/>
        </w:rPr>
      </w:pPr>
    </w:p>
    <w:p w:rsidR="00794E87" w:rsidRDefault="00794E87" w:rsidP="004B676F">
      <w:pPr>
        <w:autoSpaceDE w:val="0"/>
        <w:autoSpaceDN w:val="0"/>
        <w:adjustRightInd w:val="0"/>
        <w:ind w:left="540"/>
        <w:rPr>
          <w:sz w:val="20"/>
          <w:szCs w:val="20"/>
        </w:rPr>
      </w:pPr>
    </w:p>
    <w:p w:rsidR="004B676F" w:rsidRDefault="009A3730" w:rsidP="004B676F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092D49">
        <w:rPr>
          <w:sz w:val="20"/>
          <w:szCs w:val="20"/>
          <w:u w:val="single"/>
        </w:rPr>
        <w:t>Revisions</w:t>
      </w:r>
      <w:r w:rsidR="00592B11">
        <w:rPr>
          <w:sz w:val="20"/>
          <w:szCs w:val="20"/>
          <w:u w:val="single"/>
        </w:rPr>
        <w:t xml:space="preserve"> Required</w:t>
      </w:r>
      <w:r w:rsidR="00320255">
        <w:rPr>
          <w:sz w:val="20"/>
          <w:szCs w:val="20"/>
          <w:u w:val="single"/>
        </w:rPr>
        <w:t xml:space="preserve"> </w:t>
      </w:r>
      <w:r w:rsidR="0067679D">
        <w:rPr>
          <w:sz w:val="20"/>
          <w:szCs w:val="20"/>
          <w:u w:val="single"/>
        </w:rPr>
        <w:t>b</w:t>
      </w:r>
      <w:r w:rsidR="00320255">
        <w:rPr>
          <w:sz w:val="20"/>
          <w:szCs w:val="20"/>
          <w:u w:val="single"/>
        </w:rPr>
        <w:t>y</w:t>
      </w:r>
      <w:r w:rsidR="003204C8">
        <w:rPr>
          <w:sz w:val="20"/>
          <w:szCs w:val="20"/>
          <w:u w:val="single"/>
        </w:rPr>
        <w:t xml:space="preserve"> </w:t>
      </w:r>
      <w:r w:rsidR="00592B11">
        <w:rPr>
          <w:sz w:val="20"/>
          <w:szCs w:val="20"/>
          <w:u w:val="single"/>
        </w:rPr>
        <w:t xml:space="preserve">Implementing </w:t>
      </w:r>
      <w:r w:rsidR="003204C8">
        <w:rPr>
          <w:sz w:val="20"/>
          <w:szCs w:val="20"/>
          <w:u w:val="single"/>
        </w:rPr>
        <w:t>Guidance</w:t>
      </w:r>
      <w:r w:rsidR="004B676F" w:rsidRPr="00092D49">
        <w:rPr>
          <w:sz w:val="20"/>
          <w:szCs w:val="20"/>
          <w:u w:val="single"/>
        </w:rPr>
        <w:t>:</w:t>
      </w:r>
    </w:p>
    <w:p w:rsidR="0067679D" w:rsidRDefault="0067679D" w:rsidP="004B676F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67679D" w:rsidRPr="0067679D" w:rsidRDefault="0067679D" w:rsidP="0067679D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67679D">
        <w:rPr>
          <w:sz w:val="20"/>
          <w:szCs w:val="20"/>
        </w:rPr>
        <w:t>Development Section intends the following</w:t>
      </w:r>
      <w:r>
        <w:rPr>
          <w:sz w:val="20"/>
          <w:szCs w:val="20"/>
        </w:rPr>
        <w:t>.</w:t>
      </w:r>
    </w:p>
    <w:p w:rsidR="00B10791" w:rsidRDefault="00B10791" w:rsidP="00236D10">
      <w:pPr>
        <w:autoSpaceDE w:val="0"/>
        <w:autoSpaceDN w:val="0"/>
        <w:adjustRightInd w:val="0"/>
        <w:rPr>
          <w:sz w:val="18"/>
          <w:szCs w:val="18"/>
        </w:rPr>
      </w:pPr>
    </w:p>
    <w:p w:rsidR="00FD4C92" w:rsidRDefault="00FD4C92" w:rsidP="00092D49">
      <w:pPr>
        <w:autoSpaceDE w:val="0"/>
        <w:autoSpaceDN w:val="0"/>
        <w:adjustRightInd w:val="0"/>
        <w:ind w:left="2160" w:hanging="1620"/>
        <w:rPr>
          <w:sz w:val="18"/>
          <w:szCs w:val="18"/>
        </w:rPr>
      </w:pPr>
      <w:r>
        <w:rPr>
          <w:sz w:val="18"/>
          <w:szCs w:val="18"/>
        </w:rPr>
        <w:t>EPG 701</w:t>
      </w:r>
      <w:r>
        <w:rPr>
          <w:sz w:val="18"/>
          <w:szCs w:val="18"/>
        </w:rPr>
        <w:tab/>
        <w:t>Update for content related to this guidance.</w:t>
      </w:r>
    </w:p>
    <w:p w:rsidR="00FD4C92" w:rsidRDefault="00FD4C92" w:rsidP="00092D49">
      <w:pPr>
        <w:autoSpaceDE w:val="0"/>
        <w:autoSpaceDN w:val="0"/>
        <w:adjustRightInd w:val="0"/>
        <w:ind w:left="2160" w:hanging="1620"/>
        <w:rPr>
          <w:sz w:val="18"/>
          <w:szCs w:val="18"/>
        </w:rPr>
      </w:pPr>
      <w:r>
        <w:rPr>
          <w:sz w:val="18"/>
          <w:szCs w:val="18"/>
        </w:rPr>
        <w:t>EPG 751.37</w:t>
      </w:r>
      <w:r>
        <w:rPr>
          <w:sz w:val="18"/>
          <w:szCs w:val="18"/>
        </w:rPr>
        <w:tab/>
        <w:t>Update for content related to this guidance.</w:t>
      </w:r>
    </w:p>
    <w:p w:rsidR="00794E87" w:rsidRDefault="00794E87" w:rsidP="00092D49">
      <w:pPr>
        <w:autoSpaceDE w:val="0"/>
        <w:autoSpaceDN w:val="0"/>
        <w:adjustRightInd w:val="0"/>
        <w:ind w:left="2160" w:hanging="1620"/>
        <w:rPr>
          <w:sz w:val="18"/>
          <w:szCs w:val="18"/>
        </w:rPr>
      </w:pPr>
    </w:p>
    <w:p w:rsidR="00794E87" w:rsidRDefault="00794E87" w:rsidP="00092D49">
      <w:pPr>
        <w:autoSpaceDE w:val="0"/>
        <w:autoSpaceDN w:val="0"/>
        <w:adjustRightInd w:val="0"/>
        <w:ind w:left="2160" w:hanging="1620"/>
        <w:rPr>
          <w:sz w:val="18"/>
          <w:szCs w:val="18"/>
        </w:rPr>
      </w:pPr>
      <w:r>
        <w:rPr>
          <w:sz w:val="18"/>
          <w:szCs w:val="18"/>
        </w:rPr>
        <w:t>Cont.</w:t>
      </w:r>
      <w:r>
        <w:rPr>
          <w:sz w:val="18"/>
          <w:szCs w:val="18"/>
        </w:rPr>
        <w:tab/>
        <w:t>See Page 2 of 2</w:t>
      </w:r>
    </w:p>
    <w:p w:rsidR="002B49FB" w:rsidRDefault="002B49FB" w:rsidP="00092D49">
      <w:pPr>
        <w:autoSpaceDE w:val="0"/>
        <w:autoSpaceDN w:val="0"/>
        <w:adjustRightInd w:val="0"/>
        <w:ind w:left="2160" w:hanging="1620"/>
        <w:rPr>
          <w:sz w:val="18"/>
          <w:szCs w:val="18"/>
        </w:rPr>
      </w:pPr>
    </w:p>
    <w:p w:rsidR="00DC53F6" w:rsidRDefault="00DC53F6" w:rsidP="00092D49">
      <w:pPr>
        <w:autoSpaceDE w:val="0"/>
        <w:autoSpaceDN w:val="0"/>
        <w:adjustRightInd w:val="0"/>
        <w:ind w:left="2160" w:hanging="1620"/>
        <w:rPr>
          <w:sz w:val="18"/>
          <w:szCs w:val="18"/>
        </w:rPr>
      </w:pPr>
    </w:p>
    <w:p w:rsidR="00794E87" w:rsidRDefault="00794E87" w:rsidP="00092D49">
      <w:pPr>
        <w:autoSpaceDE w:val="0"/>
        <w:autoSpaceDN w:val="0"/>
        <w:adjustRightInd w:val="0"/>
        <w:ind w:left="2160" w:hanging="1620"/>
        <w:rPr>
          <w:sz w:val="18"/>
          <w:szCs w:val="18"/>
        </w:rPr>
      </w:pPr>
    </w:p>
    <w:p w:rsidR="00794E87" w:rsidRDefault="00794E87" w:rsidP="00092D49">
      <w:pPr>
        <w:autoSpaceDE w:val="0"/>
        <w:autoSpaceDN w:val="0"/>
        <w:adjustRightInd w:val="0"/>
        <w:ind w:left="2160" w:hanging="1620"/>
        <w:rPr>
          <w:sz w:val="18"/>
          <w:szCs w:val="18"/>
        </w:rPr>
      </w:pPr>
    </w:p>
    <w:p w:rsidR="003204C8" w:rsidRDefault="00092D49" w:rsidP="00092D49">
      <w:pPr>
        <w:autoSpaceDE w:val="0"/>
        <w:autoSpaceDN w:val="0"/>
        <w:adjustRightInd w:val="0"/>
        <w:ind w:left="2160" w:hanging="1620"/>
        <w:rPr>
          <w:sz w:val="18"/>
          <w:szCs w:val="18"/>
        </w:rPr>
      </w:pPr>
      <w:r>
        <w:rPr>
          <w:sz w:val="18"/>
          <w:szCs w:val="18"/>
        </w:rPr>
        <w:t>EPG 751.50</w:t>
      </w:r>
      <w:r w:rsidR="003204C8">
        <w:rPr>
          <w:sz w:val="18"/>
          <w:szCs w:val="18"/>
        </w:rPr>
        <w:t xml:space="preserve"> A4.XX</w:t>
      </w:r>
      <w:r>
        <w:rPr>
          <w:sz w:val="18"/>
          <w:szCs w:val="18"/>
        </w:rPr>
        <w:tab/>
      </w:r>
      <w:r w:rsidR="00320255">
        <w:rPr>
          <w:sz w:val="18"/>
          <w:szCs w:val="18"/>
        </w:rPr>
        <w:t>Add coating n</w:t>
      </w:r>
      <w:r w:rsidR="003204C8">
        <w:rPr>
          <w:sz w:val="18"/>
          <w:szCs w:val="18"/>
        </w:rPr>
        <w:t>ote</w:t>
      </w:r>
      <w:r w:rsidR="00320255">
        <w:rPr>
          <w:sz w:val="18"/>
          <w:szCs w:val="18"/>
        </w:rPr>
        <w:t>.</w:t>
      </w:r>
    </w:p>
    <w:p w:rsidR="009A3730" w:rsidRDefault="00092D49" w:rsidP="003204C8">
      <w:pPr>
        <w:autoSpaceDE w:val="0"/>
        <w:autoSpaceDN w:val="0"/>
        <w:adjustRightInd w:val="0"/>
        <w:ind w:left="2160"/>
        <w:rPr>
          <w:sz w:val="20"/>
          <w:szCs w:val="20"/>
        </w:rPr>
      </w:pPr>
      <w:r>
        <w:rPr>
          <w:sz w:val="18"/>
          <w:szCs w:val="18"/>
        </w:rPr>
        <w:lastRenderedPageBreak/>
        <w:t>“</w:t>
      </w:r>
      <w:r w:rsidRPr="00092D49">
        <w:rPr>
          <w:sz w:val="20"/>
          <w:szCs w:val="20"/>
        </w:rPr>
        <w:t>Before the coating is applied, the steel casing shall be thoroughly cleaned. Steel shall be coated with one 6-mil (0.15 mm) thickness of approved gray epoxy mastic in accordance with the epoxy mastic manufacturer’s recommendations. Protective coating will not be required below the normal low water line.</w:t>
      </w:r>
      <w:r>
        <w:rPr>
          <w:sz w:val="20"/>
          <w:szCs w:val="20"/>
        </w:rPr>
        <w:t>”</w:t>
      </w:r>
    </w:p>
    <w:p w:rsidR="003204C8" w:rsidRDefault="00092D49" w:rsidP="00092D49">
      <w:pPr>
        <w:autoSpaceDE w:val="0"/>
        <w:autoSpaceDN w:val="0"/>
        <w:adjustRightInd w:val="0"/>
        <w:ind w:left="2160" w:hanging="1620"/>
        <w:rPr>
          <w:sz w:val="18"/>
          <w:szCs w:val="18"/>
        </w:rPr>
      </w:pPr>
      <w:r>
        <w:rPr>
          <w:sz w:val="18"/>
          <w:szCs w:val="18"/>
        </w:rPr>
        <w:t>EPG 751.50</w:t>
      </w:r>
      <w:r w:rsidR="003204C8">
        <w:rPr>
          <w:sz w:val="18"/>
          <w:szCs w:val="18"/>
        </w:rPr>
        <w:t xml:space="preserve"> A4.XX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3204C8">
        <w:rPr>
          <w:sz w:val="18"/>
          <w:szCs w:val="18"/>
        </w:rPr>
        <w:t>Add cost note</w:t>
      </w:r>
      <w:r w:rsidR="00320255">
        <w:rPr>
          <w:sz w:val="18"/>
          <w:szCs w:val="18"/>
        </w:rPr>
        <w:t>.</w:t>
      </w:r>
    </w:p>
    <w:p w:rsidR="00092D49" w:rsidRDefault="00092D49" w:rsidP="003204C8">
      <w:pPr>
        <w:autoSpaceDE w:val="0"/>
        <w:autoSpaceDN w:val="0"/>
        <w:adjustRightInd w:val="0"/>
        <w:ind w:left="2160"/>
        <w:rPr>
          <w:sz w:val="18"/>
          <w:szCs w:val="18"/>
        </w:rPr>
      </w:pPr>
      <w:r>
        <w:rPr>
          <w:sz w:val="18"/>
          <w:szCs w:val="18"/>
        </w:rPr>
        <w:t>“No direct payment will be made for coating exposed surfaces of steel casing. Payment for coating the steel casing and all material, labor, tools, equipment and</w:t>
      </w:r>
    </w:p>
    <w:p w:rsidR="00092D49" w:rsidRDefault="00092D49" w:rsidP="00092D49">
      <w:pPr>
        <w:autoSpaceDE w:val="0"/>
        <w:autoSpaceDN w:val="0"/>
        <w:adjustRightInd w:val="0"/>
        <w:ind w:left="2160"/>
        <w:rPr>
          <w:sz w:val="18"/>
          <w:szCs w:val="18"/>
        </w:rPr>
      </w:pPr>
      <w:proofErr w:type="gramStart"/>
      <w:r>
        <w:rPr>
          <w:sz w:val="18"/>
          <w:szCs w:val="18"/>
        </w:rPr>
        <w:t>incidentals</w:t>
      </w:r>
      <w:proofErr w:type="gramEnd"/>
      <w:r>
        <w:rPr>
          <w:sz w:val="18"/>
          <w:szCs w:val="18"/>
        </w:rPr>
        <w:t xml:space="preserve"> necessary to complete the protective coating items will be considered completely covered under the contract unit price for other items.”</w:t>
      </w:r>
    </w:p>
    <w:p w:rsidR="00B10791" w:rsidRDefault="00477A8A" w:rsidP="00DB0EE1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092D49">
        <w:rPr>
          <w:sz w:val="20"/>
          <w:szCs w:val="20"/>
        </w:rPr>
        <w:t xml:space="preserve">EPG </w:t>
      </w:r>
      <w:r w:rsidR="00B10791" w:rsidRPr="00092D49">
        <w:rPr>
          <w:sz w:val="20"/>
          <w:szCs w:val="20"/>
        </w:rPr>
        <w:t>751.1.2.19</w:t>
      </w:r>
      <w:r w:rsidRPr="00092D49">
        <w:rPr>
          <w:sz w:val="20"/>
          <w:szCs w:val="20"/>
        </w:rPr>
        <w:t xml:space="preserve"> </w:t>
      </w:r>
      <w:r w:rsidR="00FD4C92">
        <w:rPr>
          <w:sz w:val="20"/>
          <w:szCs w:val="20"/>
        </w:rPr>
        <w:tab/>
        <w:t>Update</w:t>
      </w:r>
      <w:r w:rsidR="00FE4963" w:rsidRPr="00092D49">
        <w:rPr>
          <w:sz w:val="20"/>
          <w:szCs w:val="20"/>
        </w:rPr>
        <w:t xml:space="preserve"> for c</w:t>
      </w:r>
      <w:r w:rsidR="00E31613" w:rsidRPr="00092D49">
        <w:rPr>
          <w:sz w:val="20"/>
          <w:szCs w:val="20"/>
        </w:rPr>
        <w:t>ontent related to this guidance</w:t>
      </w:r>
      <w:r w:rsidR="00320255">
        <w:rPr>
          <w:sz w:val="20"/>
          <w:szCs w:val="20"/>
        </w:rPr>
        <w:t>.</w:t>
      </w:r>
    </w:p>
    <w:p w:rsidR="00B10791" w:rsidRPr="00092D49" w:rsidRDefault="00477A8A" w:rsidP="00DB0EE1">
      <w:pPr>
        <w:autoSpaceDE w:val="0"/>
        <w:autoSpaceDN w:val="0"/>
        <w:adjustRightInd w:val="0"/>
        <w:ind w:left="2160" w:hanging="1620"/>
        <w:rPr>
          <w:sz w:val="20"/>
          <w:szCs w:val="20"/>
        </w:rPr>
      </w:pPr>
      <w:r w:rsidRPr="00092D49">
        <w:rPr>
          <w:sz w:val="20"/>
          <w:szCs w:val="20"/>
        </w:rPr>
        <w:t xml:space="preserve">EPG </w:t>
      </w:r>
      <w:r w:rsidR="00B10791" w:rsidRPr="00092D49">
        <w:rPr>
          <w:sz w:val="20"/>
          <w:szCs w:val="20"/>
        </w:rPr>
        <w:t>751.1.2.23</w:t>
      </w:r>
      <w:r w:rsidRPr="00092D49">
        <w:rPr>
          <w:sz w:val="20"/>
          <w:szCs w:val="20"/>
        </w:rPr>
        <w:t xml:space="preserve"> </w:t>
      </w:r>
      <w:r w:rsidR="00FE4963" w:rsidRPr="00092D49">
        <w:rPr>
          <w:sz w:val="20"/>
          <w:szCs w:val="20"/>
        </w:rPr>
        <w:tab/>
      </w:r>
      <w:r w:rsidR="00592B11">
        <w:rPr>
          <w:sz w:val="20"/>
          <w:szCs w:val="20"/>
        </w:rPr>
        <w:t>No change to</w:t>
      </w:r>
      <w:r w:rsidR="003204C8">
        <w:rPr>
          <w:sz w:val="20"/>
          <w:szCs w:val="20"/>
        </w:rPr>
        <w:t xml:space="preserve"> the </w:t>
      </w:r>
      <w:r w:rsidRPr="00092D49">
        <w:rPr>
          <w:sz w:val="20"/>
          <w:szCs w:val="20"/>
        </w:rPr>
        <w:t>practice of reporting the top of permane</w:t>
      </w:r>
      <w:r w:rsidR="00E31613" w:rsidRPr="00092D49">
        <w:rPr>
          <w:sz w:val="20"/>
          <w:szCs w:val="20"/>
        </w:rPr>
        <w:t xml:space="preserve">nt casing on the </w:t>
      </w:r>
      <w:r w:rsidR="003204C8">
        <w:rPr>
          <w:sz w:val="20"/>
          <w:szCs w:val="20"/>
        </w:rPr>
        <w:t>Design Layout</w:t>
      </w:r>
    </w:p>
    <w:p w:rsidR="00715FE9" w:rsidRPr="00092D49" w:rsidRDefault="00715FE9" w:rsidP="00236D10">
      <w:pPr>
        <w:autoSpaceDE w:val="0"/>
        <w:autoSpaceDN w:val="0"/>
        <w:adjustRightInd w:val="0"/>
        <w:rPr>
          <w:sz w:val="20"/>
          <w:szCs w:val="20"/>
        </w:rPr>
      </w:pPr>
    </w:p>
    <w:p w:rsidR="00715FE9" w:rsidRPr="00092D49" w:rsidRDefault="00E31613" w:rsidP="004B676F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092D49">
        <w:rPr>
          <w:sz w:val="20"/>
          <w:szCs w:val="20"/>
        </w:rPr>
        <w:t>Standard D</w:t>
      </w:r>
      <w:r w:rsidR="00715FE9" w:rsidRPr="00092D49">
        <w:rPr>
          <w:sz w:val="20"/>
          <w:szCs w:val="20"/>
        </w:rPr>
        <w:t xml:space="preserve">rawing </w:t>
      </w:r>
      <w:r w:rsidR="00592B11">
        <w:rPr>
          <w:sz w:val="20"/>
          <w:szCs w:val="20"/>
        </w:rPr>
        <w:tab/>
        <w:t xml:space="preserve">Add </w:t>
      </w:r>
      <w:r w:rsidRPr="00092D49">
        <w:rPr>
          <w:sz w:val="20"/>
          <w:szCs w:val="20"/>
        </w:rPr>
        <w:t>coating and cost note</w:t>
      </w:r>
      <w:r w:rsidR="002B49FB">
        <w:rPr>
          <w:sz w:val="20"/>
          <w:szCs w:val="20"/>
        </w:rPr>
        <w:t>s</w:t>
      </w:r>
      <w:r w:rsidR="00320255">
        <w:rPr>
          <w:sz w:val="20"/>
          <w:szCs w:val="20"/>
        </w:rPr>
        <w:t>.</w:t>
      </w:r>
    </w:p>
    <w:p w:rsidR="009D0C76" w:rsidRPr="00092D49" w:rsidRDefault="00E31613" w:rsidP="00E31613">
      <w:pPr>
        <w:autoSpaceDE w:val="0"/>
        <w:autoSpaceDN w:val="0"/>
        <w:adjustRightInd w:val="0"/>
        <w:ind w:firstLine="540"/>
        <w:rPr>
          <w:sz w:val="20"/>
          <w:szCs w:val="20"/>
        </w:rPr>
      </w:pPr>
      <w:r w:rsidRPr="00092D49">
        <w:rPr>
          <w:sz w:val="20"/>
          <w:szCs w:val="20"/>
        </w:rPr>
        <w:t>For Drilled Shafts</w:t>
      </w:r>
    </w:p>
    <w:p w:rsidR="00F766DE" w:rsidRDefault="00F766DE"/>
    <w:p w:rsidR="00F766DE" w:rsidRPr="00220C8D" w:rsidRDefault="00F766DE"/>
    <w:sectPr w:rsidR="00F766DE" w:rsidRPr="00220C8D" w:rsidSect="00C50C26">
      <w:headerReference w:type="default" r:id="rId6"/>
      <w:footerReference w:type="default" r:id="rId7"/>
      <w:pgSz w:w="12240" w:h="15840"/>
      <w:pgMar w:top="1260" w:right="1800" w:bottom="1260" w:left="1800" w:header="540" w:footer="4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0F5" w:rsidRDefault="00B700F5">
      <w:r>
        <w:separator/>
      </w:r>
    </w:p>
  </w:endnote>
  <w:endnote w:type="continuationSeparator" w:id="0">
    <w:p w:rsidR="00B700F5" w:rsidRDefault="00B70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F5" w:rsidRDefault="00B700F5">
    <w:pPr>
      <w:pStyle w:val="Footer"/>
      <w:rPr>
        <w:sz w:val="20"/>
      </w:rPr>
    </w:pPr>
    <w:r>
      <w:rPr>
        <w:sz w:val="20"/>
      </w:rPr>
      <w:t>Development Section</w:t>
    </w:r>
    <w:r>
      <w:rPr>
        <w:sz w:val="20"/>
      </w:rPr>
      <w:tab/>
    </w: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794E87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794E87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0F5" w:rsidRDefault="00B700F5">
      <w:r>
        <w:separator/>
      </w:r>
    </w:p>
  </w:footnote>
  <w:footnote w:type="continuationSeparator" w:id="0">
    <w:p w:rsidR="00B700F5" w:rsidRDefault="00B70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F5" w:rsidRDefault="00B700F5">
    <w:pPr>
      <w:pStyle w:val="Header"/>
      <w:rPr>
        <w:sz w:val="20"/>
      </w:rPr>
    </w:pPr>
    <w:r>
      <w:rPr>
        <w:sz w:val="20"/>
      </w:rPr>
      <w:t>Missouri Department of Transportation</w:t>
    </w:r>
    <w:r>
      <w:rPr>
        <w:sz w:val="20"/>
      </w:rPr>
      <w:tab/>
    </w:r>
    <w:r>
      <w:rPr>
        <w:sz w:val="20"/>
      </w:rPr>
      <w:tab/>
      <w:t>SEG 2010</w:t>
    </w:r>
  </w:p>
  <w:p w:rsidR="00B700F5" w:rsidRDefault="00B700F5">
    <w:pPr>
      <w:pStyle w:val="Header"/>
      <w:rPr>
        <w:sz w:val="20"/>
      </w:rPr>
    </w:pPr>
    <w:r>
      <w:rPr>
        <w:sz w:val="20"/>
      </w:rPr>
      <w:t>Bridge Division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F47"/>
    <w:rsid w:val="00004AD2"/>
    <w:rsid w:val="00014AFE"/>
    <w:rsid w:val="000631E1"/>
    <w:rsid w:val="00081297"/>
    <w:rsid w:val="00092D49"/>
    <w:rsid w:val="000A539F"/>
    <w:rsid w:val="000C77B4"/>
    <w:rsid w:val="000E06A4"/>
    <w:rsid w:val="0010102F"/>
    <w:rsid w:val="00115A19"/>
    <w:rsid w:val="00122D09"/>
    <w:rsid w:val="001266D6"/>
    <w:rsid w:val="00143C7A"/>
    <w:rsid w:val="0016201C"/>
    <w:rsid w:val="00166295"/>
    <w:rsid w:val="001D17E9"/>
    <w:rsid w:val="001E2D06"/>
    <w:rsid w:val="001F340C"/>
    <w:rsid w:val="00220C8D"/>
    <w:rsid w:val="002263F6"/>
    <w:rsid w:val="00236D10"/>
    <w:rsid w:val="00240D3E"/>
    <w:rsid w:val="00251268"/>
    <w:rsid w:val="00256496"/>
    <w:rsid w:val="00262661"/>
    <w:rsid w:val="00265FF6"/>
    <w:rsid w:val="0028703C"/>
    <w:rsid w:val="002B49FB"/>
    <w:rsid w:val="002B620A"/>
    <w:rsid w:val="002E6FB1"/>
    <w:rsid w:val="002F0BD1"/>
    <w:rsid w:val="00302834"/>
    <w:rsid w:val="00307FDC"/>
    <w:rsid w:val="00320255"/>
    <w:rsid w:val="003204C8"/>
    <w:rsid w:val="00325F47"/>
    <w:rsid w:val="003379A0"/>
    <w:rsid w:val="00341B13"/>
    <w:rsid w:val="0035030A"/>
    <w:rsid w:val="003503B6"/>
    <w:rsid w:val="00394D73"/>
    <w:rsid w:val="003B57AA"/>
    <w:rsid w:val="003B7DB0"/>
    <w:rsid w:val="003D1422"/>
    <w:rsid w:val="00410BEA"/>
    <w:rsid w:val="00416F07"/>
    <w:rsid w:val="004541D8"/>
    <w:rsid w:val="00457E9C"/>
    <w:rsid w:val="00464202"/>
    <w:rsid w:val="00477A8A"/>
    <w:rsid w:val="004832F5"/>
    <w:rsid w:val="004B676F"/>
    <w:rsid w:val="004C5242"/>
    <w:rsid w:val="004D0CFA"/>
    <w:rsid w:val="004F1A79"/>
    <w:rsid w:val="004F7EA5"/>
    <w:rsid w:val="0053104F"/>
    <w:rsid w:val="0055650A"/>
    <w:rsid w:val="00563D27"/>
    <w:rsid w:val="005756A6"/>
    <w:rsid w:val="00583E81"/>
    <w:rsid w:val="00592B11"/>
    <w:rsid w:val="005B4322"/>
    <w:rsid w:val="005C5B00"/>
    <w:rsid w:val="005D3A3D"/>
    <w:rsid w:val="005F6E1F"/>
    <w:rsid w:val="00620BDC"/>
    <w:rsid w:val="006655EC"/>
    <w:rsid w:val="0067679D"/>
    <w:rsid w:val="006E45E1"/>
    <w:rsid w:val="00715FE9"/>
    <w:rsid w:val="00720EB9"/>
    <w:rsid w:val="007238CA"/>
    <w:rsid w:val="007549F0"/>
    <w:rsid w:val="00757734"/>
    <w:rsid w:val="007727FF"/>
    <w:rsid w:val="00777D65"/>
    <w:rsid w:val="00783BFB"/>
    <w:rsid w:val="00794E87"/>
    <w:rsid w:val="007A19D9"/>
    <w:rsid w:val="007B6878"/>
    <w:rsid w:val="007C50CF"/>
    <w:rsid w:val="007E39F7"/>
    <w:rsid w:val="00811E86"/>
    <w:rsid w:val="00820AE7"/>
    <w:rsid w:val="00833F3F"/>
    <w:rsid w:val="00841973"/>
    <w:rsid w:val="00843084"/>
    <w:rsid w:val="00856D72"/>
    <w:rsid w:val="008870D9"/>
    <w:rsid w:val="008B7A13"/>
    <w:rsid w:val="008C2E35"/>
    <w:rsid w:val="008E02F8"/>
    <w:rsid w:val="008E2463"/>
    <w:rsid w:val="008E3C91"/>
    <w:rsid w:val="00917CB2"/>
    <w:rsid w:val="0093244F"/>
    <w:rsid w:val="009370D9"/>
    <w:rsid w:val="0097227A"/>
    <w:rsid w:val="009777A3"/>
    <w:rsid w:val="00994068"/>
    <w:rsid w:val="009A3730"/>
    <w:rsid w:val="009D0C76"/>
    <w:rsid w:val="009D559F"/>
    <w:rsid w:val="009D5790"/>
    <w:rsid w:val="009F2059"/>
    <w:rsid w:val="009F4D3D"/>
    <w:rsid w:val="00A0794E"/>
    <w:rsid w:val="00A17BFA"/>
    <w:rsid w:val="00A4359B"/>
    <w:rsid w:val="00A94B08"/>
    <w:rsid w:val="00A95A1C"/>
    <w:rsid w:val="00AA2353"/>
    <w:rsid w:val="00AD36F8"/>
    <w:rsid w:val="00AE1C24"/>
    <w:rsid w:val="00AE6286"/>
    <w:rsid w:val="00B0575D"/>
    <w:rsid w:val="00B10791"/>
    <w:rsid w:val="00B6726A"/>
    <w:rsid w:val="00B700F5"/>
    <w:rsid w:val="00B76C26"/>
    <w:rsid w:val="00B800EC"/>
    <w:rsid w:val="00B92964"/>
    <w:rsid w:val="00BE4F1B"/>
    <w:rsid w:val="00C211DF"/>
    <w:rsid w:val="00C228E6"/>
    <w:rsid w:val="00C50C26"/>
    <w:rsid w:val="00C87FF8"/>
    <w:rsid w:val="00CD0AE5"/>
    <w:rsid w:val="00D008FC"/>
    <w:rsid w:val="00D019EF"/>
    <w:rsid w:val="00D365B5"/>
    <w:rsid w:val="00D605E1"/>
    <w:rsid w:val="00D94E3D"/>
    <w:rsid w:val="00DB0EE1"/>
    <w:rsid w:val="00DB2B1D"/>
    <w:rsid w:val="00DB5873"/>
    <w:rsid w:val="00DC2941"/>
    <w:rsid w:val="00DC53F6"/>
    <w:rsid w:val="00DD6479"/>
    <w:rsid w:val="00E31613"/>
    <w:rsid w:val="00E70C66"/>
    <w:rsid w:val="00E72145"/>
    <w:rsid w:val="00E85778"/>
    <w:rsid w:val="00E92C48"/>
    <w:rsid w:val="00E97647"/>
    <w:rsid w:val="00EC3A0A"/>
    <w:rsid w:val="00F319E8"/>
    <w:rsid w:val="00F40C55"/>
    <w:rsid w:val="00F472BF"/>
    <w:rsid w:val="00F703F1"/>
    <w:rsid w:val="00F766DE"/>
    <w:rsid w:val="00F82D3C"/>
    <w:rsid w:val="00F8576A"/>
    <w:rsid w:val="00FD4C92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07"/>
    <w:rPr>
      <w:sz w:val="24"/>
      <w:szCs w:val="24"/>
    </w:rPr>
  </w:style>
  <w:style w:type="paragraph" w:styleId="Heading1">
    <w:name w:val="heading 1"/>
    <w:basedOn w:val="Normal"/>
    <w:next w:val="Normal"/>
    <w:qFormat/>
    <w:rsid w:val="00416F0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16F07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16F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16F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16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DA7B731B19499F97EE29E9D8EE30" ma:contentTypeVersion="0" ma:contentTypeDescription="Create a new document." ma:contentTypeScope="" ma:versionID="a6a1a6b60f9fd2a0b728219228cdd7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AEA50-BB4E-4ECA-9009-29A1C6EEDDCA}"/>
</file>

<file path=customXml/itemProps2.xml><?xml version="1.0" encoding="utf-8"?>
<ds:datastoreItem xmlns:ds="http://schemas.openxmlformats.org/officeDocument/2006/customXml" ds:itemID="{3884F7A6-60AE-4705-AE83-6A21E98512EF}"/>
</file>

<file path=customXml/itemProps3.xml><?xml version="1.0" encoding="utf-8"?>
<ds:datastoreItem xmlns:ds="http://schemas.openxmlformats.org/officeDocument/2006/customXml" ds:itemID="{90ED03F7-C477-48E8-B266-084CC8D137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531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Bridges</vt:lpstr>
    </vt:vector>
  </TitlesOfParts>
  <Company>MoDOT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Bridges</dc:title>
  <dc:creator>raitha1</dc:creator>
  <cp:lastModifiedBy>sandeg</cp:lastModifiedBy>
  <cp:revision>10</cp:revision>
  <cp:lastPrinted>2010-04-20T23:07:00Z</cp:lastPrinted>
  <dcterms:created xsi:type="dcterms:W3CDTF">2010-05-16T15:50:00Z</dcterms:created>
  <dcterms:modified xsi:type="dcterms:W3CDTF">2010-06-10T15:28:00Z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0x010100B8BBDA7B731B19499F97EE29E9D8EE30</vt:lpwstr>
  </property>
</Properties>
</file>