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B3AED" w14:textId="77777777" w:rsidR="00D6266D" w:rsidRPr="00D6266D" w:rsidRDefault="00D6266D" w:rsidP="00D6266D">
      <w:pPr>
        <w:widowControl w:val="0"/>
        <w:tabs>
          <w:tab w:val="left" w:pos="360"/>
        </w:tabs>
        <w:suppressAutoHyphens/>
        <w:rPr>
          <w:rFonts w:eastAsia="Times New Roman"/>
          <w:sz w:val="21"/>
          <w:szCs w:val="21"/>
        </w:rPr>
      </w:pPr>
      <w:bookmarkStart w:id="0" w:name="S115_102_"/>
      <w:r w:rsidRPr="00D6266D">
        <w:rPr>
          <w:rFonts w:eastAsia="Times New Roman"/>
          <w:b/>
          <w:bCs/>
          <w:sz w:val="21"/>
          <w:szCs w:val="21"/>
        </w:rPr>
        <w:tab/>
      </w:r>
      <w:bookmarkEnd w:id="0"/>
      <w:r w:rsidRPr="00D6266D">
        <w:rPr>
          <w:rFonts w:eastAsia="Times New Roman"/>
          <w:b/>
          <w:bCs/>
          <w:sz w:val="21"/>
          <w:szCs w:val="21"/>
        </w:rPr>
        <w:t xml:space="preserve">115.102.  Election judge, service as, employer not to discriminate against — violation, penalty. — </w:t>
      </w:r>
      <w:r w:rsidRPr="00D6266D">
        <w:rPr>
          <w:rFonts w:eastAsia="Times New Roman"/>
          <w:sz w:val="21"/>
          <w:szCs w:val="21"/>
        </w:rPr>
        <w:t>1.  An employer shall not terminate, discipline, threaten or take adverse actions against an employee based on the employee's service as an election judge.</w:t>
      </w:r>
    </w:p>
    <w:p w14:paraId="68205868" w14:textId="77777777" w:rsidR="00D6266D" w:rsidRPr="00D6266D" w:rsidRDefault="00D6266D" w:rsidP="00D6266D">
      <w:pPr>
        <w:widowControl w:val="0"/>
        <w:tabs>
          <w:tab w:val="left" w:pos="360"/>
        </w:tabs>
        <w:suppressAutoHyphens/>
        <w:rPr>
          <w:rFonts w:eastAsia="Times New Roman"/>
          <w:sz w:val="21"/>
          <w:szCs w:val="21"/>
        </w:rPr>
      </w:pPr>
      <w:r w:rsidRPr="00D6266D">
        <w:rPr>
          <w:rFonts w:eastAsia="Times New Roman"/>
          <w:sz w:val="21"/>
          <w:szCs w:val="21"/>
        </w:rPr>
        <w:tab/>
        <w:t xml:space="preserve">2.  An employee who is appointed to serve as an election judge may, on election day, be absent from his or her employment for the </w:t>
      </w:r>
      <w:proofErr w:type="gramStart"/>
      <w:r w:rsidRPr="00D6266D">
        <w:rPr>
          <w:rFonts w:eastAsia="Times New Roman"/>
          <w:sz w:val="21"/>
          <w:szCs w:val="21"/>
        </w:rPr>
        <w:t>period of time</w:t>
      </w:r>
      <w:proofErr w:type="gramEnd"/>
      <w:r w:rsidRPr="00D6266D">
        <w:rPr>
          <w:rFonts w:eastAsia="Times New Roman"/>
          <w:sz w:val="21"/>
          <w:szCs w:val="21"/>
        </w:rPr>
        <w:t xml:space="preserve"> that the election authority requires the employee to serve as election judge.  Employees must notify employers at least seven days prior to an election that they will be absent from work on election day due to service as an election judge.</w:t>
      </w:r>
    </w:p>
    <w:p w14:paraId="3BEC8478" w14:textId="77777777" w:rsidR="00D6266D" w:rsidRPr="00D6266D" w:rsidRDefault="00D6266D" w:rsidP="00D6266D">
      <w:pPr>
        <w:widowControl w:val="0"/>
        <w:tabs>
          <w:tab w:val="left" w:pos="360"/>
        </w:tabs>
        <w:suppressAutoHyphens/>
        <w:rPr>
          <w:rFonts w:eastAsia="Times New Roman"/>
          <w:sz w:val="21"/>
          <w:szCs w:val="21"/>
        </w:rPr>
      </w:pPr>
      <w:r w:rsidRPr="00D6266D">
        <w:rPr>
          <w:rFonts w:eastAsia="Times New Roman"/>
          <w:sz w:val="21"/>
          <w:szCs w:val="21"/>
        </w:rPr>
        <w:tab/>
        <w:t>3.  An employee discharged in violation of this section may bring a civil action against the employer within ninety days of discharge for recovery of lost wages and other damages caused by the violation and for an order directing reinstatement of the employee.  If the employee prevails, the employee shall be entitled to receive reasonable attorney's fees and costs.</w:t>
      </w:r>
    </w:p>
    <w:p w14:paraId="7BA2BEA4" w14:textId="77777777" w:rsidR="00D6266D" w:rsidRPr="00D6266D" w:rsidRDefault="00D6266D" w:rsidP="00D6266D">
      <w:pPr>
        <w:widowControl w:val="0"/>
        <w:tabs>
          <w:tab w:val="left" w:pos="360"/>
        </w:tabs>
        <w:suppressAutoHyphens/>
        <w:rPr>
          <w:rFonts w:eastAsia="Times New Roman"/>
          <w:i/>
          <w:iCs/>
          <w:color w:val="FFFFFF"/>
          <w:sz w:val="8"/>
          <w:szCs w:val="8"/>
        </w:rPr>
      </w:pPr>
      <w:r w:rsidRPr="00D6266D">
        <w:rPr>
          <w:rFonts w:eastAsia="Times New Roman"/>
          <w:i/>
          <w:iCs/>
          <w:color w:val="FFFFFF"/>
          <w:sz w:val="8"/>
          <w:szCs w:val="8"/>
        </w:rPr>
        <w:softHyphen/>
      </w:r>
      <w:r w:rsidRPr="00D6266D">
        <w:rPr>
          <w:rFonts w:eastAsia="Times New Roman"/>
          <w:i/>
          <w:iCs/>
          <w:color w:val="FFFFFF"/>
          <w:sz w:val="8"/>
          <w:szCs w:val="8"/>
        </w:rPr>
        <w:softHyphen/>
      </w:r>
    </w:p>
    <w:p w14:paraId="2D788B9F" w14:textId="77777777" w:rsidR="00D6266D" w:rsidRDefault="00D6266D" w:rsidP="00D6266D">
      <w:pPr>
        <w:widowControl w:val="0"/>
        <w:tabs>
          <w:tab w:val="left" w:pos="360"/>
        </w:tabs>
        <w:suppressAutoHyphens/>
        <w:rPr>
          <w:rFonts w:eastAsia="Times New Roman"/>
          <w:sz w:val="16"/>
          <w:szCs w:val="16"/>
        </w:rPr>
      </w:pPr>
      <w:r w:rsidRPr="00D6266D">
        <w:rPr>
          <w:rFonts w:eastAsia="Times New Roman"/>
          <w:sz w:val="16"/>
          <w:szCs w:val="16"/>
        </w:rPr>
        <w:t xml:space="preserve">(L. 2002 S.B. 675) </w:t>
      </w:r>
    </w:p>
    <w:p w14:paraId="049117ED" w14:textId="77777777" w:rsidR="00FC0AF5" w:rsidRDefault="00FC0AF5" w:rsidP="00D6266D">
      <w:pPr>
        <w:widowControl w:val="0"/>
        <w:tabs>
          <w:tab w:val="left" w:pos="360"/>
        </w:tabs>
        <w:suppressAutoHyphens/>
        <w:rPr>
          <w:rFonts w:eastAsia="Times New Roman"/>
          <w:sz w:val="16"/>
          <w:szCs w:val="16"/>
        </w:rPr>
      </w:pPr>
    </w:p>
    <w:p w14:paraId="4D4F8550" w14:textId="77777777" w:rsidR="00FC0AF5" w:rsidRDefault="00FC0AF5" w:rsidP="00D6266D">
      <w:pPr>
        <w:widowControl w:val="0"/>
        <w:tabs>
          <w:tab w:val="left" w:pos="360"/>
        </w:tabs>
        <w:suppressAutoHyphens/>
        <w:rPr>
          <w:rFonts w:eastAsia="Times New Roman"/>
          <w:sz w:val="16"/>
          <w:szCs w:val="16"/>
        </w:rPr>
      </w:pPr>
      <w:bookmarkStart w:id="1" w:name="_GoBack"/>
      <w:bookmarkEnd w:id="1"/>
    </w:p>
    <w:p w14:paraId="7EBA19F6" w14:textId="77777777" w:rsidR="00FC0AF5" w:rsidRDefault="00FC0AF5" w:rsidP="00D6266D">
      <w:pPr>
        <w:widowControl w:val="0"/>
        <w:tabs>
          <w:tab w:val="left" w:pos="360"/>
        </w:tabs>
        <w:suppressAutoHyphens/>
        <w:rPr>
          <w:rFonts w:eastAsia="Times New Roman"/>
          <w:sz w:val="16"/>
          <w:szCs w:val="16"/>
        </w:rPr>
      </w:pPr>
    </w:p>
    <w:p w14:paraId="4482F2A5" w14:textId="77777777" w:rsidR="00FC0AF5" w:rsidRPr="006D5588" w:rsidRDefault="00FC0AF5" w:rsidP="00FC0AF5">
      <w:pPr>
        <w:widowControl w:val="0"/>
        <w:tabs>
          <w:tab w:val="left" w:pos="360"/>
        </w:tabs>
        <w:suppressAutoHyphens/>
        <w:rPr>
          <w:rFonts w:eastAsia="Times New Roman"/>
          <w:sz w:val="21"/>
          <w:szCs w:val="21"/>
        </w:rPr>
      </w:pPr>
      <w:bookmarkStart w:id="2" w:name="S115_639_"/>
      <w:r w:rsidRPr="006D5588">
        <w:rPr>
          <w:rFonts w:eastAsia="Times New Roman"/>
          <w:b/>
          <w:bCs/>
          <w:sz w:val="21"/>
          <w:szCs w:val="21"/>
        </w:rPr>
        <w:tab/>
      </w:r>
      <w:bookmarkEnd w:id="2"/>
      <w:r w:rsidRPr="006D5588">
        <w:rPr>
          <w:rFonts w:eastAsia="Times New Roman"/>
          <w:b/>
          <w:bCs/>
          <w:sz w:val="21"/>
          <w:szCs w:val="21"/>
        </w:rPr>
        <w:t xml:space="preserve">115.639.  Three hours off work to vote — interference by employer a class four offense. — </w:t>
      </w:r>
      <w:r w:rsidRPr="006D5588">
        <w:rPr>
          <w:rFonts w:eastAsia="Times New Roman"/>
          <w:sz w:val="21"/>
          <w:szCs w:val="21"/>
        </w:rPr>
        <w:t>1.  Any person entitled to vote at any election held within this state shall, on the day of such election, be entitled to absent himself from any services or employment in which he is then engaged or employed, for a period of three hours between the time of opening and the time of closing the polls for the purpose of voting, and any such absence for such purpose shall not be reason for the discharge of or the threat to discharge any such person from such services or employment; and such employee, if he votes, shall not, because of so absenting himself, be liable to any penalty or discipline, nor shall any deduction be made on account of such absence from his usual salary or wages; provided, however, that request shall be made for such leave of absence prior to the day of election, and provided further, that this section shall not apply to a voter on the day of election if there are three successive hours while the polls are open in which he is not in the service of his employer.  The employer may specify any three hours between the time of opening and the time of closing the polls during which such employee may absent himself.</w:t>
      </w:r>
    </w:p>
    <w:p w14:paraId="6EA37C94" w14:textId="77777777" w:rsidR="00FC0AF5" w:rsidRPr="006D5588" w:rsidRDefault="00FC0AF5" w:rsidP="00FC0AF5">
      <w:pPr>
        <w:widowControl w:val="0"/>
        <w:tabs>
          <w:tab w:val="left" w:pos="360"/>
        </w:tabs>
        <w:suppressAutoHyphens/>
        <w:rPr>
          <w:rFonts w:eastAsia="Times New Roman"/>
          <w:sz w:val="21"/>
          <w:szCs w:val="21"/>
        </w:rPr>
      </w:pPr>
      <w:r w:rsidRPr="006D5588">
        <w:rPr>
          <w:rFonts w:eastAsia="Times New Roman"/>
          <w:sz w:val="21"/>
          <w:szCs w:val="21"/>
        </w:rPr>
        <w:tab/>
        <w:t>2.  Any employer violating this section shall be deemed guilty of a class four election offense.</w:t>
      </w:r>
    </w:p>
    <w:p w14:paraId="10EF3567" w14:textId="77777777" w:rsidR="00FC0AF5" w:rsidRPr="006D5588" w:rsidRDefault="00FC0AF5" w:rsidP="00FC0AF5">
      <w:pPr>
        <w:widowControl w:val="0"/>
        <w:tabs>
          <w:tab w:val="left" w:pos="360"/>
        </w:tabs>
        <w:suppressAutoHyphens/>
        <w:rPr>
          <w:rFonts w:eastAsia="Times New Roman"/>
          <w:i/>
          <w:iCs/>
          <w:color w:val="FFFFFF"/>
          <w:sz w:val="8"/>
          <w:szCs w:val="8"/>
        </w:rPr>
      </w:pPr>
      <w:r w:rsidRPr="006D5588">
        <w:rPr>
          <w:rFonts w:eastAsia="Times New Roman"/>
          <w:i/>
          <w:iCs/>
          <w:color w:val="FFFFFF"/>
          <w:sz w:val="8"/>
          <w:szCs w:val="8"/>
        </w:rPr>
        <w:softHyphen/>
      </w:r>
      <w:r w:rsidRPr="006D5588">
        <w:rPr>
          <w:rFonts w:eastAsia="Times New Roman"/>
          <w:i/>
          <w:iCs/>
          <w:color w:val="FFFFFF"/>
          <w:sz w:val="8"/>
          <w:szCs w:val="8"/>
        </w:rPr>
        <w:softHyphen/>
      </w:r>
    </w:p>
    <w:p w14:paraId="43E058CE" w14:textId="77777777" w:rsidR="00FC0AF5" w:rsidRPr="006D5588" w:rsidRDefault="00FC0AF5" w:rsidP="00FC0AF5">
      <w:pPr>
        <w:widowControl w:val="0"/>
        <w:tabs>
          <w:tab w:val="left" w:pos="360"/>
        </w:tabs>
        <w:suppressAutoHyphens/>
        <w:rPr>
          <w:rFonts w:eastAsia="Times New Roman"/>
          <w:sz w:val="16"/>
          <w:szCs w:val="16"/>
        </w:rPr>
      </w:pPr>
      <w:r w:rsidRPr="006D5588">
        <w:rPr>
          <w:rFonts w:eastAsia="Times New Roman"/>
          <w:sz w:val="16"/>
          <w:szCs w:val="16"/>
        </w:rPr>
        <w:t xml:space="preserve">(L. 1977 H.B. 101 § 15.025) </w:t>
      </w:r>
    </w:p>
    <w:p w14:paraId="10BBAD02" w14:textId="77777777" w:rsidR="00FC0AF5" w:rsidRPr="006D5588" w:rsidRDefault="00FC0AF5" w:rsidP="00FC0AF5">
      <w:pPr>
        <w:widowControl w:val="0"/>
        <w:tabs>
          <w:tab w:val="left" w:pos="360"/>
        </w:tabs>
        <w:suppressAutoHyphens/>
        <w:rPr>
          <w:rFonts w:eastAsia="Times New Roman"/>
          <w:sz w:val="6"/>
          <w:szCs w:val="6"/>
        </w:rPr>
      </w:pPr>
      <w:r w:rsidRPr="006D5588">
        <w:rPr>
          <w:rFonts w:eastAsia="Times New Roman"/>
          <w:sz w:val="6"/>
          <w:szCs w:val="6"/>
        </w:rPr>
        <w:t xml:space="preserve"> </w:t>
      </w:r>
    </w:p>
    <w:p w14:paraId="0AE8D4DC" w14:textId="77777777" w:rsidR="00FC0AF5" w:rsidRDefault="00FC0AF5" w:rsidP="00FC0AF5">
      <w:pPr>
        <w:widowControl w:val="0"/>
        <w:tabs>
          <w:tab w:val="left" w:pos="360"/>
        </w:tabs>
        <w:suppressAutoHyphens/>
        <w:rPr>
          <w:rFonts w:eastAsia="Times New Roman"/>
          <w:sz w:val="16"/>
          <w:szCs w:val="16"/>
        </w:rPr>
      </w:pPr>
      <w:r w:rsidRPr="006D5588">
        <w:rPr>
          <w:rFonts w:eastAsia="Times New Roman"/>
          <w:sz w:val="16"/>
          <w:szCs w:val="16"/>
        </w:rPr>
        <w:t xml:space="preserve">Effective 1-01-78 </w:t>
      </w:r>
    </w:p>
    <w:p w14:paraId="213AB911" w14:textId="77777777" w:rsidR="00FC0AF5" w:rsidRDefault="00FC0AF5" w:rsidP="00FC0AF5">
      <w:pPr>
        <w:widowControl w:val="0"/>
        <w:tabs>
          <w:tab w:val="left" w:pos="360"/>
        </w:tabs>
        <w:suppressAutoHyphens/>
        <w:rPr>
          <w:rFonts w:eastAsia="Times New Roman"/>
          <w:sz w:val="16"/>
          <w:szCs w:val="16"/>
        </w:rPr>
      </w:pPr>
    </w:p>
    <w:p w14:paraId="64DA7D0B" w14:textId="77777777" w:rsidR="00FC0AF5" w:rsidRDefault="00FC0AF5" w:rsidP="00FC0AF5">
      <w:pPr>
        <w:widowControl w:val="0"/>
        <w:tabs>
          <w:tab w:val="left" w:pos="360"/>
        </w:tabs>
        <w:suppressAutoHyphens/>
        <w:rPr>
          <w:rFonts w:eastAsia="Times New Roman"/>
          <w:sz w:val="16"/>
          <w:szCs w:val="16"/>
        </w:rPr>
      </w:pPr>
    </w:p>
    <w:p w14:paraId="2CFBEDDB" w14:textId="77777777" w:rsidR="00FC0AF5" w:rsidRPr="00D6266D" w:rsidRDefault="00FC0AF5" w:rsidP="00D6266D">
      <w:pPr>
        <w:widowControl w:val="0"/>
        <w:tabs>
          <w:tab w:val="left" w:pos="360"/>
        </w:tabs>
        <w:suppressAutoHyphens/>
        <w:rPr>
          <w:rFonts w:eastAsia="Times New Roman"/>
          <w:sz w:val="16"/>
          <w:szCs w:val="16"/>
        </w:rPr>
      </w:pPr>
    </w:p>
    <w:p w14:paraId="57E0C2C0" w14:textId="77777777" w:rsidR="00D6266D" w:rsidRPr="00D6266D" w:rsidRDefault="00D6266D" w:rsidP="00D6266D">
      <w:pPr>
        <w:widowControl w:val="0"/>
        <w:tabs>
          <w:tab w:val="left" w:pos="360"/>
        </w:tabs>
        <w:suppressAutoHyphens/>
        <w:rPr>
          <w:rFonts w:eastAsia="Times New Roman"/>
          <w:sz w:val="6"/>
          <w:szCs w:val="6"/>
        </w:rPr>
      </w:pPr>
      <w:r w:rsidRPr="00D6266D">
        <w:rPr>
          <w:rFonts w:eastAsia="Times New Roman"/>
          <w:sz w:val="6"/>
          <w:szCs w:val="6"/>
        </w:rPr>
        <w:t xml:space="preserve"> </w:t>
      </w:r>
    </w:p>
    <w:p w14:paraId="649C1192" w14:textId="77777777" w:rsidR="00D6266D" w:rsidRDefault="00D6266D" w:rsidP="00D6266D">
      <w:pPr>
        <w:widowControl w:val="0"/>
        <w:tabs>
          <w:tab w:val="left" w:pos="360"/>
        </w:tabs>
        <w:suppressAutoHyphens/>
        <w:sectPr w:rsidR="00D6266D" w:rsidSect="0027744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728" w:right="1872" w:bottom="1728" w:left="2592" w:header="1296" w:footer="1296" w:gutter="0"/>
          <w:cols w:space="720"/>
          <w:titlePg/>
          <w:docGrid w:linePitch="360"/>
        </w:sectPr>
      </w:pPr>
    </w:p>
    <w:p w14:paraId="525AF55D" w14:textId="77777777" w:rsidR="00153AFC" w:rsidRPr="00D6266D" w:rsidRDefault="00153AFC" w:rsidP="00D6266D">
      <w:pPr>
        <w:widowControl w:val="0"/>
        <w:tabs>
          <w:tab w:val="left" w:pos="360"/>
        </w:tabs>
        <w:suppressAutoHyphens/>
        <w:rPr>
          <w:sz w:val="8"/>
        </w:rPr>
      </w:pPr>
    </w:p>
    <w:sectPr w:rsidR="00153AFC" w:rsidRPr="00D6266D" w:rsidSect="00277447">
      <w:type w:val="continuous"/>
      <w:pgSz w:w="12240" w:h="15840" w:code="1"/>
      <w:pgMar w:top="1728" w:right="1872" w:bottom="1728" w:left="2592" w:header="1296"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B398" w14:textId="77777777" w:rsidR="008E2990" w:rsidRDefault="008E2990" w:rsidP="00113BED">
      <w:r>
        <w:separator/>
      </w:r>
    </w:p>
  </w:endnote>
  <w:endnote w:type="continuationSeparator" w:id="0">
    <w:p w14:paraId="7CE8AD7B" w14:textId="77777777" w:rsidR="008E2990" w:rsidRDefault="008E2990" w:rsidP="0011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848" w:type="dxa"/>
      <w:jc w:val="center"/>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6521"/>
      <w:gridCol w:w="531"/>
    </w:tblGrid>
    <w:tr w:rsidR="0096713D" w:rsidRPr="00277447" w14:paraId="08E10B34" w14:textId="77777777" w:rsidTr="00EB3D67">
      <w:trPr>
        <w:jc w:val="center"/>
      </w:trPr>
      <w:tc>
        <w:tcPr>
          <w:tcW w:w="864" w:type="dxa"/>
          <w:tcMar>
            <w:left w:w="29" w:type="dxa"/>
            <w:right w:w="115" w:type="dxa"/>
          </w:tcMar>
          <w:vAlign w:val="center"/>
        </w:tcPr>
        <w:p w14:paraId="6DE392C8" w14:textId="77777777" w:rsidR="0096713D" w:rsidRPr="00277447" w:rsidRDefault="0096713D" w:rsidP="002C4B6F">
          <w:pPr>
            <w:pStyle w:val="Header"/>
            <w:rPr>
              <w:sz w:val="18"/>
              <w:szCs w:val="18"/>
            </w:rPr>
          </w:pPr>
          <w:r w:rsidRPr="0096713D">
            <w:rPr>
              <w:sz w:val="18"/>
              <w:szCs w:val="18"/>
            </w:rPr>
            <w:fldChar w:fldCharType="begin"/>
          </w:r>
          <w:r w:rsidRPr="0096713D">
            <w:rPr>
              <w:sz w:val="18"/>
              <w:szCs w:val="18"/>
            </w:rPr>
            <w:instrText xml:space="preserve"> PAGE   \* MERGEFORMAT </w:instrText>
          </w:r>
          <w:r w:rsidRPr="0096713D">
            <w:rPr>
              <w:sz w:val="18"/>
              <w:szCs w:val="18"/>
            </w:rPr>
            <w:fldChar w:fldCharType="separate"/>
          </w:r>
          <w:r w:rsidR="00EB3D67">
            <w:rPr>
              <w:noProof/>
              <w:sz w:val="18"/>
              <w:szCs w:val="18"/>
            </w:rPr>
            <w:t>2</w:t>
          </w:r>
          <w:r w:rsidRPr="0096713D">
            <w:rPr>
              <w:noProof/>
              <w:sz w:val="18"/>
              <w:szCs w:val="18"/>
            </w:rPr>
            <w:fldChar w:fldCharType="end"/>
          </w:r>
        </w:p>
      </w:tc>
      <w:tc>
        <w:tcPr>
          <w:tcW w:w="7272" w:type="dxa"/>
          <w:tcMar>
            <w:left w:w="115" w:type="dxa"/>
            <w:right w:w="115" w:type="dxa"/>
          </w:tcMar>
          <w:vAlign w:val="center"/>
        </w:tcPr>
        <w:p w14:paraId="4E82EE67" w14:textId="77777777" w:rsidR="0096713D" w:rsidRPr="00277447" w:rsidRDefault="0096713D" w:rsidP="002C4B6F">
          <w:pPr>
            <w:pStyle w:val="Header"/>
            <w:jc w:val="center"/>
            <w:rPr>
              <w:sz w:val="18"/>
              <w:szCs w:val="18"/>
            </w:rPr>
          </w:pPr>
        </w:p>
      </w:tc>
      <w:tc>
        <w:tcPr>
          <w:tcW w:w="576" w:type="dxa"/>
          <w:tcMar>
            <w:left w:w="115" w:type="dxa"/>
            <w:right w:w="29" w:type="dxa"/>
          </w:tcMar>
          <w:vAlign w:val="center"/>
        </w:tcPr>
        <w:p w14:paraId="1000C70E" w14:textId="77777777" w:rsidR="0096713D" w:rsidRPr="00277447" w:rsidRDefault="0096713D" w:rsidP="002C4B6F">
          <w:pPr>
            <w:pStyle w:val="Header"/>
            <w:jc w:val="right"/>
            <w:rPr>
              <w:sz w:val="18"/>
              <w:szCs w:val="18"/>
            </w:rPr>
          </w:pPr>
        </w:p>
      </w:tc>
    </w:tr>
  </w:tbl>
  <w:p w14:paraId="3C777653" w14:textId="77777777" w:rsidR="0096713D" w:rsidRPr="00277447" w:rsidRDefault="0096713D" w:rsidP="0096713D">
    <w:pPr>
      <w:pStyle w:val="Head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848" w:type="dxa"/>
      <w:jc w:val="center"/>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6514"/>
      <w:gridCol w:w="796"/>
    </w:tblGrid>
    <w:tr w:rsidR="0096713D" w:rsidRPr="00277447" w14:paraId="16637BD3" w14:textId="77777777" w:rsidTr="00EB3D67">
      <w:trPr>
        <w:jc w:val="center"/>
      </w:trPr>
      <w:tc>
        <w:tcPr>
          <w:tcW w:w="576" w:type="dxa"/>
          <w:vAlign w:val="center"/>
        </w:tcPr>
        <w:p w14:paraId="687B7FF4" w14:textId="77777777" w:rsidR="00945DA4" w:rsidRPr="00277447" w:rsidRDefault="00945DA4" w:rsidP="002C4B6F">
          <w:pPr>
            <w:pStyle w:val="Header"/>
            <w:rPr>
              <w:sz w:val="18"/>
              <w:szCs w:val="18"/>
            </w:rPr>
          </w:pPr>
        </w:p>
      </w:tc>
      <w:tc>
        <w:tcPr>
          <w:tcW w:w="7272" w:type="dxa"/>
          <w:tcMar>
            <w:left w:w="115" w:type="dxa"/>
            <w:right w:w="115" w:type="dxa"/>
          </w:tcMar>
          <w:vAlign w:val="center"/>
        </w:tcPr>
        <w:p w14:paraId="64E8AB60" w14:textId="77777777" w:rsidR="00945DA4" w:rsidRPr="00277447" w:rsidRDefault="00945DA4" w:rsidP="00945DA4">
          <w:pPr>
            <w:pStyle w:val="Header"/>
            <w:jc w:val="center"/>
            <w:rPr>
              <w:sz w:val="18"/>
              <w:szCs w:val="18"/>
            </w:rPr>
          </w:pPr>
        </w:p>
      </w:tc>
      <w:tc>
        <w:tcPr>
          <w:tcW w:w="864" w:type="dxa"/>
          <w:tcMar>
            <w:left w:w="115" w:type="dxa"/>
            <w:right w:w="29" w:type="dxa"/>
          </w:tcMar>
          <w:vAlign w:val="center"/>
        </w:tcPr>
        <w:p w14:paraId="4D0365C1" w14:textId="77777777" w:rsidR="00945DA4" w:rsidRPr="00277447" w:rsidRDefault="00945DA4" w:rsidP="002C4B6F">
          <w:pPr>
            <w:pStyle w:val="Header"/>
            <w:jc w:val="right"/>
            <w:rPr>
              <w:sz w:val="18"/>
              <w:szCs w:val="18"/>
            </w:rPr>
          </w:pPr>
          <w:r w:rsidRPr="00945DA4">
            <w:rPr>
              <w:sz w:val="18"/>
              <w:szCs w:val="18"/>
            </w:rPr>
            <w:fldChar w:fldCharType="begin"/>
          </w:r>
          <w:r w:rsidRPr="00945DA4">
            <w:rPr>
              <w:sz w:val="18"/>
              <w:szCs w:val="18"/>
            </w:rPr>
            <w:instrText xml:space="preserve"> PAGE   \* MERGEFORMAT </w:instrText>
          </w:r>
          <w:r w:rsidRPr="00945DA4">
            <w:rPr>
              <w:sz w:val="18"/>
              <w:szCs w:val="18"/>
            </w:rPr>
            <w:fldChar w:fldCharType="separate"/>
          </w:r>
          <w:r w:rsidR="00EB3D67">
            <w:rPr>
              <w:noProof/>
              <w:sz w:val="18"/>
              <w:szCs w:val="18"/>
            </w:rPr>
            <w:t>3</w:t>
          </w:r>
          <w:r w:rsidRPr="00945DA4">
            <w:rPr>
              <w:noProof/>
              <w:sz w:val="18"/>
              <w:szCs w:val="18"/>
            </w:rPr>
            <w:fldChar w:fldCharType="end"/>
          </w:r>
        </w:p>
      </w:tc>
    </w:tr>
  </w:tbl>
  <w:p w14:paraId="019217E9" w14:textId="77777777" w:rsidR="00945DA4" w:rsidRPr="00277447" w:rsidRDefault="00945DA4" w:rsidP="00945DA4">
    <w:pPr>
      <w:pStyle w:val="Head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848" w:type="dxa"/>
      <w:jc w:val="center"/>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6514"/>
      <w:gridCol w:w="796"/>
    </w:tblGrid>
    <w:tr w:rsidR="0096713D" w:rsidRPr="00277447" w14:paraId="32D1693C" w14:textId="77777777" w:rsidTr="00EB3D67">
      <w:trPr>
        <w:jc w:val="center"/>
      </w:trPr>
      <w:tc>
        <w:tcPr>
          <w:tcW w:w="576" w:type="dxa"/>
          <w:vAlign w:val="center"/>
        </w:tcPr>
        <w:p w14:paraId="7B818430" w14:textId="77777777" w:rsidR="0096713D" w:rsidRPr="00277447" w:rsidRDefault="0096713D" w:rsidP="002C4B6F">
          <w:pPr>
            <w:pStyle w:val="Header"/>
            <w:rPr>
              <w:sz w:val="18"/>
              <w:szCs w:val="18"/>
            </w:rPr>
          </w:pPr>
        </w:p>
      </w:tc>
      <w:tc>
        <w:tcPr>
          <w:tcW w:w="7272" w:type="dxa"/>
          <w:tcMar>
            <w:left w:w="115" w:type="dxa"/>
            <w:right w:w="115" w:type="dxa"/>
          </w:tcMar>
          <w:vAlign w:val="center"/>
        </w:tcPr>
        <w:p w14:paraId="32B9317B" w14:textId="77777777" w:rsidR="0096713D" w:rsidRPr="00277447" w:rsidRDefault="0096713D" w:rsidP="002C4B6F">
          <w:pPr>
            <w:pStyle w:val="Header"/>
            <w:jc w:val="center"/>
            <w:rPr>
              <w:sz w:val="18"/>
              <w:szCs w:val="18"/>
            </w:rPr>
          </w:pPr>
        </w:p>
      </w:tc>
      <w:tc>
        <w:tcPr>
          <w:tcW w:w="864" w:type="dxa"/>
          <w:tcMar>
            <w:left w:w="115" w:type="dxa"/>
            <w:right w:w="29" w:type="dxa"/>
          </w:tcMar>
          <w:vAlign w:val="center"/>
        </w:tcPr>
        <w:p w14:paraId="05AC01E5" w14:textId="77777777" w:rsidR="0096713D" w:rsidRPr="00277447" w:rsidRDefault="0096713D" w:rsidP="002C4B6F">
          <w:pPr>
            <w:pStyle w:val="Header"/>
            <w:jc w:val="right"/>
            <w:rPr>
              <w:sz w:val="18"/>
              <w:szCs w:val="18"/>
            </w:rPr>
          </w:pPr>
          <w:r w:rsidRPr="00945DA4">
            <w:rPr>
              <w:sz w:val="18"/>
              <w:szCs w:val="18"/>
            </w:rPr>
            <w:fldChar w:fldCharType="begin"/>
          </w:r>
          <w:r w:rsidRPr="00945DA4">
            <w:rPr>
              <w:sz w:val="18"/>
              <w:szCs w:val="18"/>
            </w:rPr>
            <w:instrText xml:space="preserve"> PAGE   \* MERGEFORMAT </w:instrText>
          </w:r>
          <w:r w:rsidRPr="00945DA4">
            <w:rPr>
              <w:sz w:val="18"/>
              <w:szCs w:val="18"/>
            </w:rPr>
            <w:fldChar w:fldCharType="separate"/>
          </w:r>
          <w:r w:rsidR="00D6266D">
            <w:rPr>
              <w:noProof/>
              <w:sz w:val="18"/>
              <w:szCs w:val="18"/>
            </w:rPr>
            <w:t>1</w:t>
          </w:r>
          <w:r w:rsidRPr="00945DA4">
            <w:rPr>
              <w:noProof/>
              <w:sz w:val="18"/>
              <w:szCs w:val="18"/>
            </w:rPr>
            <w:fldChar w:fldCharType="end"/>
          </w:r>
        </w:p>
      </w:tc>
    </w:tr>
  </w:tbl>
  <w:p w14:paraId="26BF01BC" w14:textId="77777777" w:rsidR="0096713D" w:rsidRPr="00277447" w:rsidRDefault="0096713D" w:rsidP="0096713D">
    <w:pPr>
      <w:pStyle w:val="Head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E9638" w14:textId="77777777" w:rsidR="008E2990" w:rsidRDefault="008E2990" w:rsidP="00113BED">
      <w:r>
        <w:separator/>
      </w:r>
    </w:p>
  </w:footnote>
  <w:footnote w:type="continuationSeparator" w:id="0">
    <w:p w14:paraId="7C30ECAE" w14:textId="77777777" w:rsidR="008E2990" w:rsidRDefault="008E2990" w:rsidP="0011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3"/>
    </w:tblGrid>
    <w:tr w:rsidR="00956A3F" w:rsidRPr="00277447" w14:paraId="42EABCA3" w14:textId="77777777" w:rsidTr="00956A3F">
      <w:trPr>
        <w:jc w:val="center"/>
      </w:trPr>
      <w:tc>
        <w:tcPr>
          <w:tcW w:w="7704" w:type="dxa"/>
          <w:tcMar>
            <w:left w:w="72" w:type="dxa"/>
            <w:right w:w="115" w:type="dxa"/>
          </w:tcMar>
          <w:vAlign w:val="center"/>
        </w:tcPr>
        <w:p w14:paraId="0C8A8A53" w14:textId="77777777" w:rsidR="00956A3F" w:rsidRPr="00277447" w:rsidRDefault="00956A3F" w:rsidP="002C4B6F">
          <w:pPr>
            <w:pStyle w:val="Header"/>
            <w:rPr>
              <w:sz w:val="18"/>
              <w:szCs w:val="18"/>
            </w:rPr>
          </w:pPr>
        </w:p>
      </w:tc>
      <w:tc>
        <w:tcPr>
          <w:tcW w:w="144" w:type="dxa"/>
          <w:tcMar>
            <w:left w:w="115" w:type="dxa"/>
            <w:right w:w="72" w:type="dxa"/>
          </w:tcMar>
          <w:vAlign w:val="center"/>
        </w:tcPr>
        <w:p w14:paraId="39E936DE" w14:textId="77777777" w:rsidR="00956A3F" w:rsidRPr="00277447" w:rsidRDefault="00956A3F" w:rsidP="002C4B6F">
          <w:pPr>
            <w:pStyle w:val="Header"/>
            <w:jc w:val="right"/>
            <w:rPr>
              <w:sz w:val="18"/>
              <w:szCs w:val="18"/>
            </w:rPr>
          </w:pPr>
        </w:p>
      </w:tc>
    </w:tr>
  </w:tbl>
  <w:p w14:paraId="425398D3" w14:textId="77777777" w:rsidR="00956A3F" w:rsidRPr="00277447" w:rsidRDefault="00956A3F" w:rsidP="00956A3F">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626"/>
    </w:tblGrid>
    <w:tr w:rsidR="00956A3F" w:rsidRPr="00277447" w14:paraId="1DDAC68B" w14:textId="77777777" w:rsidTr="002C4B6F">
      <w:trPr>
        <w:jc w:val="center"/>
      </w:trPr>
      <w:tc>
        <w:tcPr>
          <w:tcW w:w="144" w:type="dxa"/>
          <w:vAlign w:val="center"/>
        </w:tcPr>
        <w:p w14:paraId="45A43272" w14:textId="77777777" w:rsidR="00956A3F" w:rsidRPr="00277447" w:rsidRDefault="00956A3F" w:rsidP="002C4B6F">
          <w:pPr>
            <w:pStyle w:val="Header"/>
            <w:rPr>
              <w:sz w:val="18"/>
              <w:szCs w:val="18"/>
            </w:rPr>
          </w:pPr>
        </w:p>
      </w:tc>
      <w:tc>
        <w:tcPr>
          <w:tcW w:w="7704" w:type="dxa"/>
          <w:tcMar>
            <w:left w:w="115" w:type="dxa"/>
            <w:right w:w="72" w:type="dxa"/>
          </w:tcMar>
          <w:vAlign w:val="center"/>
        </w:tcPr>
        <w:p w14:paraId="47302A7D" w14:textId="77777777" w:rsidR="00956A3F" w:rsidRPr="00277447" w:rsidRDefault="00956A3F" w:rsidP="002C4B6F">
          <w:pPr>
            <w:pStyle w:val="Header"/>
            <w:jc w:val="right"/>
            <w:rPr>
              <w:sz w:val="18"/>
              <w:szCs w:val="18"/>
            </w:rPr>
          </w:pPr>
        </w:p>
      </w:tc>
    </w:tr>
  </w:tbl>
  <w:p w14:paraId="6CFF80C2" w14:textId="77777777" w:rsidR="00956A3F" w:rsidRPr="00277447" w:rsidRDefault="00956A3F" w:rsidP="00956A3F">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626"/>
    </w:tblGrid>
    <w:tr w:rsidR="00277447" w:rsidRPr="00277447" w14:paraId="54530E07" w14:textId="77777777" w:rsidTr="00956A3F">
      <w:trPr>
        <w:jc w:val="center"/>
      </w:trPr>
      <w:tc>
        <w:tcPr>
          <w:tcW w:w="144" w:type="dxa"/>
          <w:vAlign w:val="center"/>
        </w:tcPr>
        <w:p w14:paraId="4C898B8C" w14:textId="77777777" w:rsidR="00277447" w:rsidRPr="00277447" w:rsidRDefault="00277447" w:rsidP="008B537F">
          <w:pPr>
            <w:pStyle w:val="Header"/>
            <w:rPr>
              <w:sz w:val="18"/>
              <w:szCs w:val="18"/>
            </w:rPr>
          </w:pPr>
        </w:p>
      </w:tc>
      <w:tc>
        <w:tcPr>
          <w:tcW w:w="7704" w:type="dxa"/>
          <w:tcMar>
            <w:left w:w="115" w:type="dxa"/>
            <w:right w:w="72" w:type="dxa"/>
          </w:tcMar>
          <w:vAlign w:val="center"/>
        </w:tcPr>
        <w:p w14:paraId="53BB5259" w14:textId="77777777" w:rsidR="00277447" w:rsidRPr="00277447" w:rsidRDefault="00277447" w:rsidP="00956A3F">
          <w:pPr>
            <w:pStyle w:val="Header"/>
            <w:jc w:val="right"/>
            <w:rPr>
              <w:sz w:val="18"/>
              <w:szCs w:val="18"/>
            </w:rPr>
          </w:pPr>
        </w:p>
      </w:tc>
    </w:tr>
  </w:tbl>
  <w:p w14:paraId="114DF963" w14:textId="77777777" w:rsidR="00277447" w:rsidRPr="00277447" w:rsidRDefault="00277447" w:rsidP="00277447">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70"/>
    <w:rsid w:val="0001345D"/>
    <w:rsid w:val="00025268"/>
    <w:rsid w:val="00025A82"/>
    <w:rsid w:val="00053E40"/>
    <w:rsid w:val="00062A49"/>
    <w:rsid w:val="000A2727"/>
    <w:rsid w:val="000A388C"/>
    <w:rsid w:val="000A7096"/>
    <w:rsid w:val="000B6A41"/>
    <w:rsid w:val="000D604C"/>
    <w:rsid w:val="000F4604"/>
    <w:rsid w:val="00113BED"/>
    <w:rsid w:val="00115E10"/>
    <w:rsid w:val="00153AFC"/>
    <w:rsid w:val="001913EC"/>
    <w:rsid w:val="001F13A4"/>
    <w:rsid w:val="00277447"/>
    <w:rsid w:val="00282957"/>
    <w:rsid w:val="002E59DF"/>
    <w:rsid w:val="002F21B2"/>
    <w:rsid w:val="003155C4"/>
    <w:rsid w:val="00315E1D"/>
    <w:rsid w:val="0035339B"/>
    <w:rsid w:val="003A6FE2"/>
    <w:rsid w:val="003B3640"/>
    <w:rsid w:val="003C731D"/>
    <w:rsid w:val="003E0385"/>
    <w:rsid w:val="004154B1"/>
    <w:rsid w:val="00455BA7"/>
    <w:rsid w:val="00485DB3"/>
    <w:rsid w:val="00486DF2"/>
    <w:rsid w:val="004B0F9C"/>
    <w:rsid w:val="004B5BD6"/>
    <w:rsid w:val="004C7E7F"/>
    <w:rsid w:val="005069B3"/>
    <w:rsid w:val="0055182E"/>
    <w:rsid w:val="00586012"/>
    <w:rsid w:val="005909E5"/>
    <w:rsid w:val="005B5495"/>
    <w:rsid w:val="00602C67"/>
    <w:rsid w:val="00622F5C"/>
    <w:rsid w:val="0062437D"/>
    <w:rsid w:val="00631F2B"/>
    <w:rsid w:val="00652054"/>
    <w:rsid w:val="00671BA5"/>
    <w:rsid w:val="00695A70"/>
    <w:rsid w:val="006E77AE"/>
    <w:rsid w:val="00725FD6"/>
    <w:rsid w:val="00745D10"/>
    <w:rsid w:val="007E17B4"/>
    <w:rsid w:val="008356F0"/>
    <w:rsid w:val="00843B4E"/>
    <w:rsid w:val="0089492F"/>
    <w:rsid w:val="008A1FC8"/>
    <w:rsid w:val="008D758F"/>
    <w:rsid w:val="008E2990"/>
    <w:rsid w:val="008F5EBD"/>
    <w:rsid w:val="0090300F"/>
    <w:rsid w:val="00923038"/>
    <w:rsid w:val="00924BBA"/>
    <w:rsid w:val="00940716"/>
    <w:rsid w:val="00945DA4"/>
    <w:rsid w:val="00956A3F"/>
    <w:rsid w:val="009605F0"/>
    <w:rsid w:val="0096713D"/>
    <w:rsid w:val="009E7DC9"/>
    <w:rsid w:val="00A2249E"/>
    <w:rsid w:val="00A273AB"/>
    <w:rsid w:val="00A4047A"/>
    <w:rsid w:val="00A5640A"/>
    <w:rsid w:val="00A8377B"/>
    <w:rsid w:val="00AD1D98"/>
    <w:rsid w:val="00B32CB8"/>
    <w:rsid w:val="00B420B5"/>
    <w:rsid w:val="00B43E3D"/>
    <w:rsid w:val="00BC2A1E"/>
    <w:rsid w:val="00C368C9"/>
    <w:rsid w:val="00C77559"/>
    <w:rsid w:val="00C917B7"/>
    <w:rsid w:val="00C921C7"/>
    <w:rsid w:val="00C92D88"/>
    <w:rsid w:val="00CA7552"/>
    <w:rsid w:val="00CB445D"/>
    <w:rsid w:val="00CE51FC"/>
    <w:rsid w:val="00CE6969"/>
    <w:rsid w:val="00D0344D"/>
    <w:rsid w:val="00D14AAE"/>
    <w:rsid w:val="00D17F61"/>
    <w:rsid w:val="00D214DC"/>
    <w:rsid w:val="00D6266D"/>
    <w:rsid w:val="00DB50CC"/>
    <w:rsid w:val="00DE0E67"/>
    <w:rsid w:val="00E25018"/>
    <w:rsid w:val="00E26E75"/>
    <w:rsid w:val="00E73FE1"/>
    <w:rsid w:val="00E84AA6"/>
    <w:rsid w:val="00EB2087"/>
    <w:rsid w:val="00EB3D67"/>
    <w:rsid w:val="00EC2BEF"/>
    <w:rsid w:val="00ED616F"/>
    <w:rsid w:val="00EE063C"/>
    <w:rsid w:val="00F07B20"/>
    <w:rsid w:val="00F160A8"/>
    <w:rsid w:val="00F226CB"/>
    <w:rsid w:val="00F42BB5"/>
    <w:rsid w:val="00F75B39"/>
    <w:rsid w:val="00F86DFA"/>
    <w:rsid w:val="00FB117C"/>
    <w:rsid w:val="00FC0AF5"/>
    <w:rsid w:val="00FE26D3"/>
    <w:rsid w:val="00FF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A7F59DE"/>
  <w15:docId w15:val="{8F1104DB-A88A-4C4C-A091-7274A224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17C"/>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B32C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rsid w:val="00062A49"/>
    <w:pPr>
      <w:spacing w:before="100" w:beforeAutospacing="1" w:after="100" w:afterAutospacing="1"/>
    </w:pPr>
    <w:rPr>
      <w:rFonts w:ascii="Courier New" w:hAnsi="Courier New" w:cs="Courier New"/>
    </w:rPr>
  </w:style>
  <w:style w:type="character" w:customStyle="1" w:styleId="norm1">
    <w:name w:val="norm1"/>
    <w:basedOn w:val="DefaultParagraphFont"/>
    <w:rsid w:val="00062A49"/>
    <w:rPr>
      <w:rFonts w:ascii="Courier New" w:hAnsi="Courier New" w:cs="Courier New" w:hint="default"/>
      <w:sz w:val="24"/>
      <w:szCs w:val="24"/>
    </w:rPr>
  </w:style>
  <w:style w:type="table" w:styleId="TableGrid">
    <w:name w:val="Table Grid"/>
    <w:basedOn w:val="TableNormal"/>
    <w:uiPriority w:val="59"/>
    <w:rsid w:val="00BC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2CB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13BED"/>
    <w:pPr>
      <w:tabs>
        <w:tab w:val="center" w:pos="4680"/>
        <w:tab w:val="right" w:pos="9360"/>
      </w:tabs>
    </w:pPr>
  </w:style>
  <w:style w:type="character" w:customStyle="1" w:styleId="HeaderChar">
    <w:name w:val="Header Char"/>
    <w:basedOn w:val="DefaultParagraphFont"/>
    <w:link w:val="Header"/>
    <w:uiPriority w:val="99"/>
    <w:rsid w:val="00113BE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13BED"/>
    <w:pPr>
      <w:tabs>
        <w:tab w:val="center" w:pos="4680"/>
        <w:tab w:val="right" w:pos="9360"/>
      </w:tabs>
    </w:pPr>
  </w:style>
  <w:style w:type="character" w:customStyle="1" w:styleId="FooterChar">
    <w:name w:val="Footer Char"/>
    <w:basedOn w:val="DefaultParagraphFont"/>
    <w:link w:val="Footer"/>
    <w:uiPriority w:val="99"/>
    <w:rsid w:val="00113BED"/>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F39F3"/>
    <w:rPr>
      <w:rFonts w:ascii="Tahoma" w:hAnsi="Tahoma" w:cs="Tahoma"/>
      <w:sz w:val="16"/>
      <w:szCs w:val="16"/>
    </w:rPr>
  </w:style>
  <w:style w:type="character" w:customStyle="1" w:styleId="BalloonTextChar">
    <w:name w:val="Balloon Text Char"/>
    <w:basedOn w:val="DefaultParagraphFont"/>
    <w:link w:val="BalloonText"/>
    <w:uiPriority w:val="99"/>
    <w:semiHidden/>
    <w:rsid w:val="00FF39F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480468">
      <w:bodyDiv w:val="1"/>
      <w:marLeft w:val="0"/>
      <w:marRight w:val="0"/>
      <w:marTop w:val="0"/>
      <w:marBottom w:val="0"/>
      <w:divBdr>
        <w:top w:val="none" w:sz="0" w:space="0" w:color="auto"/>
        <w:left w:val="none" w:sz="0" w:space="0" w:color="auto"/>
        <w:bottom w:val="none" w:sz="0" w:space="0" w:color="auto"/>
        <w:right w:val="none" w:sz="0" w:space="0" w:color="auto"/>
      </w:divBdr>
    </w:div>
    <w:div w:id="9209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AA37-1969-453C-919F-9408AA428F34}"/>
</file>

<file path=customXml/itemProps2.xml><?xml version="1.0" encoding="utf-8"?>
<ds:datastoreItem xmlns:ds="http://schemas.openxmlformats.org/officeDocument/2006/customXml" ds:itemID="{2DAA1B62-F3D0-47D7-A2E7-66E22858465E}">
  <ds:schemaRefs>
    <ds:schemaRef ds:uri="http://schemas.microsoft.com/sharepoint/v3/contenttype/forms"/>
  </ds:schemaRefs>
</ds:datastoreItem>
</file>

<file path=customXml/itemProps3.xml><?xml version="1.0" encoding="utf-8"?>
<ds:datastoreItem xmlns:ds="http://schemas.openxmlformats.org/officeDocument/2006/customXml" ds:itemID="{3B45B2B9-0C45-4DAF-8C41-4FE9D6BA3C93}">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 ds:uri="7b1025d0-9c65-40f7-8395-db260b33e9d6"/>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3CB20BCB-BDCD-4DC0-95A0-15DF4CB3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RSMo15.639and115.102</dc:title>
  <dc:subject>section template</dc:subject>
  <dc:creator>Dewayne Basnett</dc:creator>
  <cp:keywords/>
  <dc:description>1438071578</dc:description>
  <cp:lastModifiedBy>Joyce A. Jaegers</cp:lastModifiedBy>
  <cp:revision>2</cp:revision>
  <cp:lastPrinted>2016-04-29T14:02:00Z</cp:lastPrinted>
  <dcterms:created xsi:type="dcterms:W3CDTF">2020-01-07T16:40:00Z</dcterms:created>
  <dcterms:modified xsi:type="dcterms:W3CDTF">2020-01-07T16:40:00Z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ies>
</file>